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AA5" w:rsidRDefault="00681AA5" w:rsidP="00681AA5">
      <w:pPr>
        <w:pStyle w:val="Kop1"/>
      </w:pPr>
      <w:r>
        <w:t>Alternatief schoolexamen ivm Coronacrisis</w:t>
      </w:r>
    </w:p>
    <w:p w:rsidR="00681AA5" w:rsidRDefault="00681AA5" w:rsidP="00681AA5">
      <w:r>
        <w:t xml:space="preserve">We voelen allemaal de uitdaging dat er ‘anders’ met schoolexamens omgegaan zou moeten worden door de Coronacrisis. De afgelopen weken hebben verschillende collega’s contact met ons gezocht over hoe dit op afstand vorm kan worden gegeven. Niet dat alle scholen op afstand schoolexamens organiseren. Sommige scholen laten leerlingen wel op school komen maar bieden diverse voorzorgsmaatregelen. </w:t>
      </w:r>
    </w:p>
    <w:p w:rsidR="00681AA5" w:rsidRDefault="00681AA5" w:rsidP="00681AA5"/>
    <w:p w:rsidR="00204A3A" w:rsidRDefault="00204A3A" w:rsidP="00204A3A">
      <w:pPr>
        <w:pStyle w:val="Kop3"/>
      </w:pPr>
      <w:r>
        <w:t>Minder vragen maar breder / essays ipv toetsvragen</w:t>
      </w:r>
    </w:p>
    <w:p w:rsidR="00204A3A" w:rsidRDefault="00B0134A" w:rsidP="00204A3A">
      <w:r>
        <w:t xml:space="preserve">Een van de manieren om een toets op afstand te organiseren is door een bestaande toets als basis te nemen maar om vragen te combineren. Als vragen worden verminderd maar tegelijk breder gesteld, geeft dat een kans om er een open boektoets van te maken. </w:t>
      </w:r>
    </w:p>
    <w:p w:rsidR="00B0134A" w:rsidRDefault="00B0134A" w:rsidP="00204A3A"/>
    <w:p w:rsidR="00B0134A" w:rsidRDefault="00B0134A" w:rsidP="00B0134A">
      <w:pPr>
        <w:pStyle w:val="Kop3"/>
      </w:pPr>
      <w:r>
        <w:t>Open boektoets geeft kans op hogere denkvaardigheden</w:t>
      </w:r>
    </w:p>
    <w:p w:rsidR="00B0134A" w:rsidRDefault="00B0134A" w:rsidP="00B0134A">
      <w:r>
        <w:t>Een open boektoets, een toets die leerlingen thuis maken, geeft een kans om hogere denkvaardigheden te toetsen. Maak gebruik van bijlage 2 van de syllabus met handelingswerkwoorden in de vragen zoals ‘s</w:t>
      </w:r>
      <w:r w:rsidRPr="00B0134A">
        <w:t>amenhang vinden</w:t>
      </w:r>
      <w:r>
        <w:t>, h</w:t>
      </w:r>
      <w:r w:rsidRPr="00B0134A">
        <w:t>oofdlijnen aangeven</w:t>
      </w:r>
      <w:r>
        <w:t>, t</w:t>
      </w:r>
      <w:r>
        <w:t>esten</w:t>
      </w:r>
      <w:r>
        <w:t xml:space="preserve"> van een hypothese, o</w:t>
      </w:r>
      <w:r>
        <w:t xml:space="preserve">ordelen </w:t>
      </w:r>
      <w:r>
        <w:t>over een advies of standpunt of analyse van een ander, c</w:t>
      </w:r>
      <w:r>
        <w:t>oncluderen</w:t>
      </w:r>
      <w:r>
        <w:t>, h</w:t>
      </w:r>
      <w:r>
        <w:t>ypothese opstellen</w:t>
      </w:r>
      <w:r>
        <w:t>, o</w:t>
      </w:r>
      <w:r>
        <w:t>ntwerpen</w:t>
      </w:r>
      <w:r>
        <w:t xml:space="preserve"> onderzoek, </w:t>
      </w:r>
      <w:r w:rsidR="00170FEB">
        <w:t>m</w:t>
      </w:r>
      <w:r>
        <w:t>aken</w:t>
      </w:r>
      <w:r w:rsidR="00170FEB">
        <w:t xml:space="preserve"> of s</w:t>
      </w:r>
      <w:r>
        <w:t>chrijven</w:t>
      </w:r>
      <w:r w:rsidR="00170FEB">
        <w:t xml:space="preserve"> van …’ </w:t>
      </w:r>
    </w:p>
    <w:p w:rsidR="00170FEB" w:rsidRDefault="00170FEB" w:rsidP="00B0134A"/>
    <w:p w:rsidR="00170FEB" w:rsidRDefault="00170FEB" w:rsidP="00B0134A">
      <w:r>
        <w:t xml:space="preserve">In feite laat u de leerlingen eerder een beschouwing of betoog schrijven ipv een standaardtoets. </w:t>
      </w:r>
    </w:p>
    <w:p w:rsidR="00170FEB" w:rsidRDefault="00170FEB" w:rsidP="00B0134A"/>
    <w:p w:rsidR="00170FEB" w:rsidRPr="00170FEB" w:rsidRDefault="00170FEB" w:rsidP="00BE32C5">
      <w:pPr>
        <w:pStyle w:val="Kop2"/>
      </w:pPr>
      <w:r w:rsidRPr="00170FEB">
        <w:t>Maar hoe voorkomen we doorspelen van antwoorden?</w:t>
      </w:r>
    </w:p>
    <w:p w:rsidR="00681AA5" w:rsidRDefault="00681AA5" w:rsidP="00681AA5"/>
    <w:p w:rsidR="00681AA5" w:rsidRPr="00681AA5" w:rsidRDefault="00204A3A" w:rsidP="00204A3A">
      <w:pPr>
        <w:pStyle w:val="Kop3"/>
      </w:pPr>
      <w:r>
        <w:t>Beperk de tijd</w:t>
      </w:r>
    </w:p>
    <w:p w:rsidR="00A036FD" w:rsidRDefault="00A036FD">
      <w:r>
        <w:t>Leerlingen zouden dan een o</w:t>
      </w:r>
      <w:r w:rsidR="00886E57">
        <w:t xml:space="preserve">pdracht in </w:t>
      </w:r>
      <w:r>
        <w:t>de ELO (</w:t>
      </w:r>
      <w:r w:rsidR="00886E57">
        <w:t>Magister</w:t>
      </w:r>
      <w:r>
        <w:t xml:space="preserve">, It’s Learning, etc.) kunnen </w:t>
      </w:r>
      <w:r w:rsidR="00886E57">
        <w:t xml:space="preserve">openen waar ze een </w:t>
      </w:r>
      <w:r>
        <w:t xml:space="preserve">beperkte tijd </w:t>
      </w:r>
      <w:r w:rsidR="00886E57">
        <w:t xml:space="preserve">aan kunnen werken. </w:t>
      </w:r>
      <w:r>
        <w:t xml:space="preserve">Bijvoorbeeld van 10-11u. </w:t>
      </w:r>
    </w:p>
    <w:p w:rsidR="00A036FD" w:rsidRDefault="00A036FD"/>
    <w:p w:rsidR="00204A3A" w:rsidRDefault="00204A3A" w:rsidP="00204A3A">
      <w:pPr>
        <w:pStyle w:val="Kop3"/>
      </w:pPr>
      <w:r>
        <w:t>Varieer in contexten</w:t>
      </w:r>
    </w:p>
    <w:p w:rsidR="00A036FD" w:rsidRDefault="00A036FD">
      <w:r>
        <w:t xml:space="preserve">Variatie kan in dit geval makkelijk worden bereikt door </w:t>
      </w:r>
      <w:r w:rsidR="00886E57">
        <w:t xml:space="preserve">leerlingen </w:t>
      </w:r>
      <w:r>
        <w:t xml:space="preserve">een </w:t>
      </w:r>
      <w:r w:rsidR="00886E57">
        <w:t>eigen rechtszaak</w:t>
      </w:r>
      <w:r>
        <w:t xml:space="preserve"> te geven</w:t>
      </w:r>
      <w:r w:rsidR="00886E57">
        <w:t xml:space="preserve">. Deze rechtszaken zijn te vinden op de website van het openbaar ministerie of rechtszaak.nl. Dit moeten stevige rechtszaken zijn waar veel informatie in de artikelen zit. </w:t>
      </w:r>
      <w:r>
        <w:t xml:space="preserve">Uiteraard is dit een taakverzwaring voor ons als docenten: meer contexten bieden zodat we verschillende varianten hebben van één toets. Hierin ligt een kans voor de community: mail svp verschillende (korte concrete) contexten over 1 onderwerp. Dan zetten we die op de Toetsenbank op een aparte pagina. </w:t>
      </w:r>
    </w:p>
    <w:p w:rsidR="00A036FD" w:rsidRDefault="00A036FD"/>
    <w:p w:rsidR="00A036FD" w:rsidRPr="0026606D" w:rsidRDefault="00A036FD" w:rsidP="0026606D">
      <w:pPr>
        <w:pStyle w:val="Kop3"/>
      </w:pPr>
      <w:r w:rsidRPr="0026606D">
        <w:t>Hoe verdelen we de varianten over leerlingen?</w:t>
      </w:r>
    </w:p>
    <w:p w:rsidR="0026606D" w:rsidRDefault="0026606D">
      <w:r>
        <w:t>Er zijn verschillende strategieën om fraude en elkaar helpen te voorkomen:</w:t>
      </w:r>
    </w:p>
    <w:p w:rsidR="0026606D" w:rsidRDefault="00886E57" w:rsidP="0026606D">
      <w:pPr>
        <w:pStyle w:val="Lijstalinea"/>
        <w:numPr>
          <w:ilvl w:val="0"/>
          <w:numId w:val="1"/>
        </w:numPr>
      </w:pPr>
      <w:r>
        <w:t xml:space="preserve">Leerlingen die dan niet veel met elkaar optrekken krijgen dan dezelfde </w:t>
      </w:r>
      <w:r w:rsidR="0026606D">
        <w:t>contexten/varianten.</w:t>
      </w:r>
    </w:p>
    <w:p w:rsidR="00886E57" w:rsidRDefault="0026606D" w:rsidP="0026606D">
      <w:pPr>
        <w:pStyle w:val="Lijstalinea"/>
        <w:numPr>
          <w:ilvl w:val="0"/>
          <w:numId w:val="1"/>
        </w:numPr>
      </w:pPr>
      <w:r>
        <w:t>L</w:t>
      </w:r>
      <w:r w:rsidR="00886E57">
        <w:t xml:space="preserve">eerlingen die </w:t>
      </w:r>
      <w:r>
        <w:t xml:space="preserve">ongeveer </w:t>
      </w:r>
      <w:r w:rsidR="00886E57">
        <w:t xml:space="preserve">hetzelfde </w:t>
      </w:r>
      <w:r>
        <w:t>gemiddelde, krijgen dezelfde contexten/varianten</w:t>
      </w:r>
      <w:r w:rsidR="00886E57">
        <w:t>. Zij zullen elkaar namelijk niet veel kunnen helpen</w:t>
      </w:r>
      <w:r>
        <w:t xml:space="preserve"> er vanuit gaande dat deze leerlingen allemaal ongeveer evenveel of weinig inzicht hebben in de lesstof</w:t>
      </w:r>
      <w:r w:rsidR="00886E57">
        <w:t xml:space="preserve">. </w:t>
      </w:r>
    </w:p>
    <w:p w:rsidR="00886E57" w:rsidRDefault="00886E57"/>
    <w:p w:rsidR="0026606D" w:rsidRDefault="0026606D" w:rsidP="0026606D">
      <w:pPr>
        <w:pStyle w:val="Kop3"/>
      </w:pPr>
      <w:r>
        <w:lastRenderedPageBreak/>
        <w:t>Uitwerking a.d.h.v. havo hoofdstuk 14 Veiligheid</w:t>
      </w:r>
    </w:p>
    <w:p w:rsidR="0075425F" w:rsidRDefault="0026606D">
      <w:r>
        <w:t xml:space="preserve">Het laatste schoolexamen kan gaan over bijvoorbeeld havo hoofdstuk 14 (Veiligheid) in combinatie met onderzoek doen. </w:t>
      </w:r>
      <w:r w:rsidR="00886E57">
        <w:t>Bij elke rechtszaak wordt er gevraagd wat er is gebeurd en welke theorie er van toepassing is. Is dat de anomietheorie, kunnen we iets met de bindingtheorie? Uiteraard wordt er rechtgesproken</w:t>
      </w:r>
      <w:r w:rsidR="0075425F">
        <w:t xml:space="preserve"> in de casus</w:t>
      </w:r>
      <w:r w:rsidR="00886E57">
        <w:t xml:space="preserve">. Een vraag die dan gesteld kan worden is of er sprake is van de klassieke school of de moderne school. </w:t>
      </w:r>
    </w:p>
    <w:p w:rsidR="00886E57" w:rsidRDefault="00886E57">
      <w:r>
        <w:t xml:space="preserve">Er kan iets gevraagd worden over de straffen: is het preventie of repressie? Of stel dat er beleid gemaakt moet worden op deze specifieke criminaliteit: hoe zou een liberaal </w:t>
      </w:r>
      <w:r w:rsidR="0026606D">
        <w:t xml:space="preserve">of socialist </w:t>
      </w:r>
      <w:r>
        <w:t>daarin staan? Een hypothese laten uitschrijven met variabelen en indicatoren. Stel je gaat er wetenschappelijk onderzoek naar doen.</w:t>
      </w:r>
      <w:r w:rsidR="0026606D">
        <w:t xml:space="preserve"> </w:t>
      </w:r>
      <w:r>
        <w:t>Je krijgt dan allemaal dezelfde vragen maar bij verschillende rechtszaken.</w:t>
      </w:r>
    </w:p>
    <w:p w:rsidR="00170FEB" w:rsidRDefault="00170FEB"/>
    <w:p w:rsidR="00170FEB" w:rsidRDefault="00170FEB" w:rsidP="00170FEB">
      <w:pPr>
        <w:pStyle w:val="Kop3"/>
      </w:pPr>
      <w:r>
        <w:t>Uitwerking a.d.h.v. vwo hoofdstuk 15 en 16 Machtsverhoudingen in de wereld</w:t>
      </w:r>
    </w:p>
    <w:p w:rsidR="0075425F" w:rsidRDefault="0075425F" w:rsidP="00170FEB">
      <w:r>
        <w:t xml:space="preserve">U kunt een internationaal conflict of een casus met een falende staat gebruiken als context. Ook hier, net als bij het voorbeeld van havo hierboven, kunt u onderzoeksvaardigheden inzetten boven de theorie die geleerd moest worden. </w:t>
      </w:r>
    </w:p>
    <w:p w:rsidR="00170FEB" w:rsidRDefault="0075425F" w:rsidP="00170FEB">
      <w:r>
        <w:t>U kunt dezelfde vraagstelling hanteren</w:t>
      </w:r>
      <w:r w:rsidR="003B7E74">
        <w:t xml:space="preserve"> zoals vragen naar getoonde kenmerken van een falende staat, de rol van de VN Veiligheidsraad, Navo en EU, internationaal strafhof, </w:t>
      </w:r>
      <w:r w:rsidR="00A20E31">
        <w:t>de positieve en negatieve gevolgen van globalisering, de koopman en de dominee (NL bu.beleid), de theorieën die het gedrag van staten verklaren, etcetera.</w:t>
      </w:r>
    </w:p>
    <w:p w:rsidR="00A20E31" w:rsidRDefault="00BE32C5" w:rsidP="00170FEB">
      <w:r>
        <w:t xml:space="preserve">Contexten die als voorbeeld kunnen dienen: Mali, Syrië, Soedan, Kongo, Noordpool, CAR, Zuid-Chinese Zee. Zie ook de website van de </w:t>
      </w:r>
      <w:hyperlink r:id="rId5" w:history="1">
        <w:r w:rsidRPr="00BE32C5">
          <w:rPr>
            <w:rStyle w:val="Hyperlink"/>
          </w:rPr>
          <w:t>Atlantische Commissie</w:t>
        </w:r>
      </w:hyperlink>
      <w:r>
        <w:t xml:space="preserve"> met contexten. Of </w:t>
      </w:r>
      <w:hyperlink r:id="rId6" w:history="1">
        <w:r w:rsidRPr="00BE32C5">
          <w:rPr>
            <w:rStyle w:val="Hyperlink"/>
          </w:rPr>
          <w:t>Kennislink</w:t>
        </w:r>
      </w:hyperlink>
      <w:r>
        <w:t xml:space="preserve"> of de </w:t>
      </w:r>
      <w:hyperlink r:id="rId7" w:history="1">
        <w:r w:rsidRPr="00BE32C5">
          <w:rPr>
            <w:rStyle w:val="Hyperlink"/>
          </w:rPr>
          <w:t>Militaire Spectator</w:t>
        </w:r>
      </w:hyperlink>
      <w:r>
        <w:t xml:space="preserve"> bijvoorbeeld over de </w:t>
      </w:r>
      <w:hyperlink r:id="rId8" w:history="1">
        <w:r w:rsidRPr="00BE32C5">
          <w:rPr>
            <w:rStyle w:val="Hyperlink"/>
          </w:rPr>
          <w:t>missie in Mali</w:t>
        </w:r>
      </w:hyperlink>
      <w:r>
        <w:t xml:space="preserve"> (uiteraard inkorten - de M.S. is academisch maar redelijk leesbaar</w:t>
      </w:r>
      <w:bookmarkStart w:id="0" w:name="_GoBack"/>
      <w:bookmarkEnd w:id="0"/>
      <w:r>
        <w:t xml:space="preserve">). </w:t>
      </w:r>
    </w:p>
    <w:p w:rsidR="00BE32C5" w:rsidRDefault="00BE32C5" w:rsidP="00170FEB"/>
    <w:p w:rsidR="00A20E31" w:rsidRDefault="00A20E31" w:rsidP="00BE32C5">
      <w:pPr>
        <w:pStyle w:val="Kop2"/>
      </w:pPr>
      <w:r>
        <w:t>Vergeet de kernconcepten niet!</w:t>
      </w:r>
    </w:p>
    <w:p w:rsidR="00A20E31" w:rsidRDefault="00A20E31" w:rsidP="00A20E31">
      <w:r>
        <w:t xml:space="preserve">We zouden met alle contextkennis in de laatste delen van Seneca bijna vergeten dat er ook nog kernconcepten en hoofdconcepten zijn. Die kunt dienen uiteraard ook onderdeel te zijn van een opdracht. </w:t>
      </w:r>
    </w:p>
    <w:p w:rsidR="00A20E31" w:rsidRDefault="00A20E31" w:rsidP="00A20E31"/>
    <w:p w:rsidR="00A20E31" w:rsidRPr="00BE32C5" w:rsidRDefault="00A20E31" w:rsidP="00BE32C5">
      <w:pPr>
        <w:pStyle w:val="Kop2"/>
      </w:pPr>
      <w:r w:rsidRPr="00BE32C5">
        <w:t xml:space="preserve">Waar </w:t>
      </w:r>
      <w:r w:rsidR="00BE32C5" w:rsidRPr="00BE32C5">
        <w:t>vindt</w:t>
      </w:r>
      <w:r w:rsidRPr="00BE32C5">
        <w:t xml:space="preserve"> u voorbeelden</w:t>
      </w:r>
      <w:r w:rsidR="00BE32C5" w:rsidRPr="00BE32C5">
        <w:t xml:space="preserve"> van contexten of van vragen?</w:t>
      </w:r>
    </w:p>
    <w:p w:rsidR="00A20E31" w:rsidRDefault="00BE32C5" w:rsidP="00A20E31">
      <w:pPr>
        <w:pStyle w:val="Lijstalinea"/>
        <w:numPr>
          <w:ilvl w:val="0"/>
          <w:numId w:val="3"/>
        </w:numPr>
      </w:pPr>
      <w:hyperlink r:id="rId9" w:history="1">
        <w:r w:rsidRPr="00BE32C5">
          <w:rPr>
            <w:rStyle w:val="Hyperlink"/>
          </w:rPr>
          <w:t>POs</w:t>
        </w:r>
      </w:hyperlink>
      <w:r>
        <w:t xml:space="preserve"> =&gt; </w:t>
      </w:r>
      <w:r w:rsidR="00A20E31">
        <w:t>Online Portal</w:t>
      </w:r>
      <w:r>
        <w:t>, k</w:t>
      </w:r>
      <w:r w:rsidR="00A20E31">
        <w:t xml:space="preserve">nop ‘Docenten’ en dan </w:t>
      </w:r>
      <w:r>
        <w:t>lestips havo of vwo en dan onderaan POs.</w:t>
      </w:r>
    </w:p>
    <w:p w:rsidR="00A20E31" w:rsidRDefault="00BE32C5" w:rsidP="00A20E31">
      <w:pPr>
        <w:pStyle w:val="Lijstalinea"/>
        <w:numPr>
          <w:ilvl w:val="0"/>
          <w:numId w:val="3"/>
        </w:numPr>
      </w:pPr>
      <w:hyperlink r:id="rId10" w:history="1">
        <w:r w:rsidR="00A20E31" w:rsidRPr="00BE32C5">
          <w:rPr>
            <w:rStyle w:val="Hyperlink"/>
          </w:rPr>
          <w:t>Examenopgaven</w:t>
        </w:r>
      </w:hyperlink>
      <w:r w:rsidR="00A20E31">
        <w:t xml:space="preserve"> =&gt; Online Portal, knop ‘Docenten’ en dan Examenopgaven</w:t>
      </w:r>
    </w:p>
    <w:p w:rsidR="00A20E31" w:rsidRPr="00A20E31" w:rsidRDefault="00A20E31" w:rsidP="00A20E31">
      <w:pPr>
        <w:pStyle w:val="Lijstalinea"/>
        <w:numPr>
          <w:ilvl w:val="0"/>
          <w:numId w:val="3"/>
        </w:numPr>
      </w:pPr>
      <w:hyperlink r:id="rId11" w:history="1">
        <w:r w:rsidRPr="00A20E31">
          <w:rPr>
            <w:rStyle w:val="Hyperlink"/>
          </w:rPr>
          <w:t>Toetsenbank</w:t>
        </w:r>
      </w:hyperlink>
      <w:r>
        <w:t xml:space="preserve"> =&gt; gebruik een toets. Zet de tabel op 100 ipv 8 rijen en u vindt er meer. </w:t>
      </w:r>
    </w:p>
    <w:sectPr w:rsidR="00A20E31" w:rsidRPr="00A20E31" w:rsidSect="002932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5E2"/>
    <w:multiLevelType w:val="hybridMultilevel"/>
    <w:tmpl w:val="E4588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EE5666"/>
    <w:multiLevelType w:val="hybridMultilevel"/>
    <w:tmpl w:val="A2F4F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CE0F9F"/>
    <w:multiLevelType w:val="hybridMultilevel"/>
    <w:tmpl w:val="E20EE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7"/>
    <w:rsid w:val="00170FEB"/>
    <w:rsid w:val="00182702"/>
    <w:rsid w:val="00204A3A"/>
    <w:rsid w:val="0026606D"/>
    <w:rsid w:val="0029320E"/>
    <w:rsid w:val="003B7E74"/>
    <w:rsid w:val="00681AA5"/>
    <w:rsid w:val="0075425F"/>
    <w:rsid w:val="00886E57"/>
    <w:rsid w:val="00A036FD"/>
    <w:rsid w:val="00A04F79"/>
    <w:rsid w:val="00A20E31"/>
    <w:rsid w:val="00B0134A"/>
    <w:rsid w:val="00BE32C5"/>
    <w:rsid w:val="00CE69C2"/>
    <w:rsid w:val="00DC2F75"/>
    <w:rsid w:val="00F908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8F5A"/>
  <w14:defaultImageDpi w14:val="32767"/>
  <w15:chartTrackingRefBased/>
  <w15:docId w15:val="{47988BD7-3F8D-5C43-9535-B834DE60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imes New Roman (Hoofdtekst CS)"/>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81AA5"/>
    <w:pPr>
      <w:keepNext/>
      <w:keepLines/>
      <w:spacing w:before="24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BE32C5"/>
    <w:pPr>
      <w:keepNext/>
      <w:keepLines/>
      <w:spacing w:before="40"/>
      <w:outlineLvl w:val="1"/>
    </w:pPr>
    <w:rPr>
      <w:rFonts w:eastAsiaTheme="majorEastAsia" w:cstheme="majorBidi"/>
      <w:b/>
      <w:bCs/>
      <w:color w:val="2F5496" w:themeColor="accent1" w:themeShade="BF"/>
      <w:sz w:val="26"/>
      <w:szCs w:val="26"/>
    </w:rPr>
  </w:style>
  <w:style w:type="paragraph" w:styleId="Kop3">
    <w:name w:val="heading 3"/>
    <w:basedOn w:val="Standaard"/>
    <w:next w:val="Standaard"/>
    <w:link w:val="Kop3Char"/>
    <w:uiPriority w:val="9"/>
    <w:unhideWhenUsed/>
    <w:qFormat/>
    <w:rsid w:val="0026606D"/>
    <w:pPr>
      <w:keepNext/>
      <w:keepLines/>
      <w:spacing w:before="40"/>
      <w:outlineLvl w:val="2"/>
    </w:pPr>
    <w:rPr>
      <w:rFonts w:eastAsiaTheme="majorEastAsia" w:cstheme="majorBidi"/>
      <w:b/>
      <w:b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1AA5"/>
    <w:rPr>
      <w:rFonts w:eastAsiaTheme="majorEastAsia" w:cstheme="majorBidi"/>
      <w:color w:val="2F5496" w:themeColor="accent1" w:themeShade="BF"/>
      <w:sz w:val="32"/>
      <w:szCs w:val="32"/>
    </w:rPr>
  </w:style>
  <w:style w:type="character" w:customStyle="1" w:styleId="Kop2Char">
    <w:name w:val="Kop 2 Char"/>
    <w:basedOn w:val="Standaardalinea-lettertype"/>
    <w:link w:val="Kop2"/>
    <w:uiPriority w:val="9"/>
    <w:rsid w:val="00BE32C5"/>
    <w:rPr>
      <w:rFonts w:eastAsiaTheme="majorEastAsia" w:cstheme="majorBidi"/>
      <w:b/>
      <w:bCs/>
      <w:color w:val="2F5496" w:themeColor="accent1" w:themeShade="BF"/>
      <w:sz w:val="26"/>
      <w:szCs w:val="26"/>
    </w:rPr>
  </w:style>
  <w:style w:type="character" w:customStyle="1" w:styleId="Kop3Char">
    <w:name w:val="Kop 3 Char"/>
    <w:basedOn w:val="Standaardalinea-lettertype"/>
    <w:link w:val="Kop3"/>
    <w:uiPriority w:val="9"/>
    <w:rsid w:val="0026606D"/>
    <w:rPr>
      <w:rFonts w:eastAsiaTheme="majorEastAsia" w:cstheme="majorBidi"/>
      <w:b/>
      <w:bCs/>
      <w:color w:val="1F3763" w:themeColor="accent1" w:themeShade="7F"/>
    </w:rPr>
  </w:style>
  <w:style w:type="paragraph" w:styleId="Lijstalinea">
    <w:name w:val="List Paragraph"/>
    <w:basedOn w:val="Standaard"/>
    <w:uiPriority w:val="34"/>
    <w:qFormat/>
    <w:rsid w:val="0026606D"/>
    <w:pPr>
      <w:ind w:left="720"/>
      <w:contextualSpacing/>
    </w:pPr>
  </w:style>
  <w:style w:type="character" w:styleId="Hyperlink">
    <w:name w:val="Hyperlink"/>
    <w:basedOn w:val="Standaardalinea-lettertype"/>
    <w:uiPriority w:val="99"/>
    <w:unhideWhenUsed/>
    <w:rsid w:val="00A20E31"/>
    <w:rPr>
      <w:color w:val="0563C1" w:themeColor="hyperlink"/>
      <w:u w:val="single"/>
    </w:rPr>
  </w:style>
  <w:style w:type="character" w:styleId="Onopgelostemelding">
    <w:name w:val="Unresolved Mention"/>
    <w:basedOn w:val="Standaardalinea-lettertype"/>
    <w:uiPriority w:val="99"/>
    <w:rsid w:val="00A20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itairespectator.nl/sites/default/files/uitgaven/inhoudsopgave/MS%203-2014%20Sahla%20Mal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litairespectator.nl/uitgaves-van-de-militaire-spectator?text=mal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mokennislink.nl/vakgebieden/maatschappijwetenschap/" TargetMode="External"/><Relationship Id="rId11" Type="http://schemas.openxmlformats.org/officeDocument/2006/relationships/hyperlink" Target="https://www.senecacommunity.nl" TargetMode="External"/><Relationship Id="rId5" Type="http://schemas.openxmlformats.org/officeDocument/2006/relationships/hyperlink" Target="https://www.atlcom.nl/onderwijs/lesmateriaal/" TargetMode="External"/><Relationship Id="rId10" Type="http://schemas.openxmlformats.org/officeDocument/2006/relationships/hyperlink" Target="http://maatschappij-wetenschappen.nl/eindexamens/" TargetMode="External"/><Relationship Id="rId4" Type="http://schemas.openxmlformats.org/officeDocument/2006/relationships/webSettings" Target="webSettings.xml"/><Relationship Id="rId9" Type="http://schemas.openxmlformats.org/officeDocument/2006/relationships/hyperlink" Target="http://maatschappij-wetenschappen.nl/docentenpagina/hoofdstukken-vwo-docentenpagina/pos-vwo/"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849</Words>
  <Characters>4671</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Madelie van Leijenhorst</dc:creator>
  <cp:keywords/>
  <dc:description/>
  <cp:lastModifiedBy>Marco Veldman</cp:lastModifiedBy>
  <cp:revision>9</cp:revision>
  <dcterms:created xsi:type="dcterms:W3CDTF">2020-04-03T06:23:00Z</dcterms:created>
  <dcterms:modified xsi:type="dcterms:W3CDTF">2020-04-03T12:00:00Z</dcterms:modified>
</cp:coreProperties>
</file>