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AC05" w14:textId="77777777" w:rsidR="0044144F" w:rsidRDefault="00000000">
      <w:pPr>
        <w:pStyle w:val="Titel"/>
        <w:jc w:val="center"/>
        <w:rPr>
          <w:rFonts w:ascii="Times New Roman" w:eastAsia="Times New Roman" w:hAnsi="Times New Roman" w:cs="Times New Roman"/>
          <w:sz w:val="24"/>
          <w:szCs w:val="24"/>
        </w:rPr>
      </w:pPr>
      <w:bookmarkStart w:id="0" w:name="_vsjg8pivtut8" w:colFirst="0" w:colLast="0"/>
      <w:bookmarkEnd w:id="0"/>
      <w:r>
        <w:t>Leerdoelen Vwo Maatschappijwetenschappen</w:t>
      </w:r>
    </w:p>
    <w:p w14:paraId="22A803AD" w14:textId="77777777" w:rsidR="0044144F" w:rsidRDefault="0044144F">
      <w:pPr>
        <w:rPr>
          <w:rFonts w:ascii="Times New Roman" w:eastAsia="Times New Roman" w:hAnsi="Times New Roman" w:cs="Times New Roman"/>
          <w:sz w:val="24"/>
          <w:szCs w:val="24"/>
        </w:rPr>
      </w:pPr>
    </w:p>
    <w:p w14:paraId="22A1BEBE" w14:textId="77777777" w:rsidR="0044144F" w:rsidRDefault="0044144F">
      <w:pPr>
        <w:rPr>
          <w:rFonts w:ascii="Times New Roman" w:eastAsia="Times New Roman" w:hAnsi="Times New Roman" w:cs="Times New Roman"/>
          <w:i/>
          <w:sz w:val="24"/>
          <w:szCs w:val="24"/>
        </w:rPr>
      </w:pPr>
    </w:p>
    <w:tbl>
      <w:tblPr>
        <w:tblStyle w:val="a"/>
        <w:tblW w:w="10125" w:type="dxa"/>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44144F" w14:paraId="63D5CCFA" w14:textId="77777777">
        <w:trPr>
          <w:trHeight w:val="530"/>
        </w:trPr>
        <w:tc>
          <w:tcPr>
            <w:tcW w:w="10125" w:type="dxa"/>
            <w:shd w:val="clear" w:color="auto" w:fill="auto"/>
            <w:tcMar>
              <w:top w:w="100" w:type="dxa"/>
              <w:left w:w="100" w:type="dxa"/>
              <w:bottom w:w="100" w:type="dxa"/>
              <w:right w:w="100" w:type="dxa"/>
            </w:tcMar>
          </w:tcPr>
          <w:p w14:paraId="321F5006"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Disclaimer</w:t>
            </w:r>
          </w:p>
          <w:p w14:paraId="764DB737" w14:textId="77777777" w:rsidR="0044144F" w:rsidRDefault="00000000">
            <w:pPr>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Deze leerdoelen zijn gebaseerd op de leerdoelformule uit het</w:t>
            </w:r>
            <w:r>
              <w:rPr>
                <w:rFonts w:ascii="Times New Roman" w:eastAsia="Times New Roman" w:hAnsi="Times New Roman" w:cs="Times New Roman"/>
                <w:i/>
                <w:sz w:val="24"/>
                <w:szCs w:val="24"/>
              </w:rPr>
              <w:t xml:space="preserve"> Handboek Vakdidactiek </w:t>
            </w:r>
            <w:r>
              <w:rPr>
                <w:rFonts w:ascii="Times New Roman" w:eastAsia="Times New Roman" w:hAnsi="Times New Roman" w:cs="Times New Roman"/>
                <w:sz w:val="24"/>
                <w:szCs w:val="24"/>
              </w:rPr>
              <w:t xml:space="preserve">van Rob van den Boorn, red.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(2021, p. 159).</w:t>
            </w:r>
          </w:p>
          <w:p w14:paraId="1E7AAC4C" w14:textId="77777777" w:rsidR="0044144F" w:rsidRDefault="00000000">
            <w:pPr>
              <w:widowControl w:val="0"/>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De leerling + handelingswerkwoord + leerstofonderdeel + (minimumeis) + (bron/casus)</w:t>
            </w:r>
          </w:p>
          <w:p w14:paraId="6330A810" w14:textId="77777777" w:rsidR="0044144F" w:rsidRDefault="0044144F">
            <w:pPr>
              <w:widowControl w:val="0"/>
              <w:spacing w:line="240" w:lineRule="auto"/>
              <w:ind w:left="720"/>
              <w:rPr>
                <w:rFonts w:ascii="Times New Roman" w:eastAsia="Times New Roman" w:hAnsi="Times New Roman" w:cs="Times New Roman"/>
                <w:sz w:val="24"/>
                <w:szCs w:val="24"/>
              </w:rPr>
            </w:pPr>
          </w:p>
          <w:p w14:paraId="5CAC6074" w14:textId="77777777" w:rsidR="0044144F"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Het handboek adviseert docenten de leerdoelen te formuleren door te starten met ‘De leerling…’. Wij hebben echter besloten de leerdoelen te starten met ‘Ik kan…’. Zo leggen wij de nadruk op leerdoelen als een tool voor leerlingen om hun beheersing van de stof te toetsen. </w:t>
            </w:r>
          </w:p>
          <w:p w14:paraId="5BFD1888" w14:textId="77777777" w:rsidR="0044144F" w:rsidRDefault="0044144F">
            <w:pPr>
              <w:widowControl w:val="0"/>
              <w:spacing w:line="240" w:lineRule="auto"/>
              <w:ind w:left="720"/>
              <w:rPr>
                <w:rFonts w:ascii="Times New Roman" w:eastAsia="Times New Roman" w:hAnsi="Times New Roman" w:cs="Times New Roman"/>
                <w:sz w:val="24"/>
                <w:szCs w:val="24"/>
              </w:rPr>
            </w:pPr>
          </w:p>
          <w:p w14:paraId="17A303CF" w14:textId="77777777" w:rsidR="0044144F" w:rsidRDefault="00000000">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Bij de leerdoelen met betrekking tot (kern-/hoofd-)concepten hebben wij gebruik gemaakt van het handelingswerkwoord </w:t>
            </w:r>
            <w:r>
              <w:rPr>
                <w:rFonts w:ascii="Times New Roman" w:eastAsia="Times New Roman" w:hAnsi="Times New Roman" w:cs="Times New Roman"/>
                <w:i/>
                <w:sz w:val="24"/>
                <w:szCs w:val="24"/>
              </w:rPr>
              <w:t xml:space="preserve">definitie geven. </w:t>
            </w:r>
            <w:r>
              <w:rPr>
                <w:rFonts w:ascii="Times New Roman" w:eastAsia="Times New Roman" w:hAnsi="Times New Roman" w:cs="Times New Roman"/>
                <w:sz w:val="24"/>
                <w:szCs w:val="24"/>
              </w:rPr>
              <w:t xml:space="preserve">In de commissies Schnabel is het vak echter bedoeld als </w:t>
            </w:r>
            <w:r>
              <w:rPr>
                <w:rFonts w:ascii="Times New Roman" w:eastAsia="Times New Roman" w:hAnsi="Times New Roman" w:cs="Times New Roman"/>
                <w:i/>
                <w:sz w:val="24"/>
                <w:szCs w:val="24"/>
              </w:rPr>
              <w:t>toepassingsvak</w:t>
            </w:r>
            <w:r>
              <w:rPr>
                <w:rFonts w:ascii="Times New Roman" w:eastAsia="Times New Roman" w:hAnsi="Times New Roman" w:cs="Times New Roman"/>
                <w:sz w:val="24"/>
                <w:szCs w:val="24"/>
              </w:rPr>
              <w:t xml:space="preserve"> en die visie nemen we bij Seneca graag over. We hebben echter voor </w:t>
            </w:r>
            <w:r>
              <w:rPr>
                <w:rFonts w:ascii="Times New Roman" w:eastAsia="Times New Roman" w:hAnsi="Times New Roman" w:cs="Times New Roman"/>
                <w:i/>
                <w:sz w:val="24"/>
                <w:szCs w:val="24"/>
              </w:rPr>
              <w:t xml:space="preserve">definitie geven </w:t>
            </w:r>
            <w:r>
              <w:rPr>
                <w:rFonts w:ascii="Times New Roman" w:eastAsia="Times New Roman" w:hAnsi="Times New Roman" w:cs="Times New Roman"/>
                <w:sz w:val="24"/>
                <w:szCs w:val="24"/>
              </w:rPr>
              <w:t xml:space="preserve">gekozen omdat een deel van de leerlingen bij het handelingswerkwoord </w:t>
            </w:r>
            <w:r>
              <w:rPr>
                <w:rFonts w:ascii="Times New Roman" w:eastAsia="Times New Roman" w:hAnsi="Times New Roman" w:cs="Times New Roman"/>
                <w:i/>
                <w:sz w:val="24"/>
                <w:szCs w:val="24"/>
              </w:rPr>
              <w:t xml:space="preserve">omschrijven </w:t>
            </w:r>
            <w:r>
              <w:rPr>
                <w:rFonts w:ascii="Times New Roman" w:eastAsia="Times New Roman" w:hAnsi="Times New Roman" w:cs="Times New Roman"/>
                <w:sz w:val="24"/>
                <w:szCs w:val="24"/>
              </w:rPr>
              <w:t xml:space="preserve">zich er te gemakkelijk vanaf maakt en de vaktaal niet leert. Bij de concept-context didactiek die bij maatschappijwetenschappen vereist is, betekent dat definities niet letterlijk gevraagd worden op een eindexamen. Tegelijkertijd adviseren we wel dat u uw leerlingen traint in het leren van de elementen van de definities én in het begrijpen van de elementen én in de de toepassing er van. </w:t>
            </w:r>
          </w:p>
        </w:tc>
      </w:tr>
    </w:tbl>
    <w:p w14:paraId="1C25762E" w14:textId="77777777" w:rsidR="0044144F" w:rsidRDefault="0044144F">
      <w:pPr>
        <w:rPr>
          <w:rFonts w:ascii="Times New Roman" w:eastAsia="Times New Roman" w:hAnsi="Times New Roman" w:cs="Times New Roman"/>
          <w:i/>
          <w:sz w:val="24"/>
          <w:szCs w:val="24"/>
        </w:rPr>
      </w:pPr>
    </w:p>
    <w:p w14:paraId="643370A4" w14:textId="77777777" w:rsidR="0044144F" w:rsidRDefault="0044144F">
      <w:pPr>
        <w:rPr>
          <w:rFonts w:ascii="Times New Roman" w:eastAsia="Times New Roman" w:hAnsi="Times New Roman" w:cs="Times New Roman"/>
          <w:sz w:val="24"/>
          <w:szCs w:val="24"/>
        </w:rPr>
      </w:pPr>
    </w:p>
    <w:p w14:paraId="24752AAE" w14:textId="77777777" w:rsidR="0044144F" w:rsidRDefault="0044144F">
      <w:pPr>
        <w:rPr>
          <w:rFonts w:ascii="Times New Roman" w:eastAsia="Times New Roman" w:hAnsi="Times New Roman" w:cs="Times New Roman"/>
          <w:sz w:val="24"/>
          <w:szCs w:val="24"/>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4144F" w14:paraId="3504DB89" w14:textId="77777777">
        <w:tc>
          <w:tcPr>
            <w:tcW w:w="9029" w:type="dxa"/>
            <w:shd w:val="clear" w:color="auto" w:fill="auto"/>
            <w:tcMar>
              <w:top w:w="100" w:type="dxa"/>
              <w:left w:w="100" w:type="dxa"/>
              <w:bottom w:w="100" w:type="dxa"/>
              <w:right w:w="100" w:type="dxa"/>
            </w:tcMar>
          </w:tcPr>
          <w:p w14:paraId="3DF32CA7" w14:textId="77777777" w:rsidR="0044144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Hoofdstuk 1: De Samenleving en het Individu</w:t>
            </w:r>
          </w:p>
        </w:tc>
      </w:tr>
      <w:tr w:rsidR="0044144F" w14:paraId="35079681" w14:textId="77777777">
        <w:tc>
          <w:tcPr>
            <w:tcW w:w="9029" w:type="dxa"/>
            <w:shd w:val="clear" w:color="auto" w:fill="auto"/>
            <w:tcMar>
              <w:top w:w="100" w:type="dxa"/>
              <w:left w:w="100" w:type="dxa"/>
              <w:bottom w:w="100" w:type="dxa"/>
              <w:right w:w="100" w:type="dxa"/>
            </w:tcMar>
          </w:tcPr>
          <w:p w14:paraId="1666DA95" w14:textId="77777777" w:rsidR="0044144F"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Hoofdstuk 1 behandelt eindtermen </w:t>
            </w:r>
            <w:r>
              <w:rPr>
                <w:rFonts w:ascii="Times New Roman" w:eastAsia="Times New Roman" w:hAnsi="Times New Roman" w:cs="Times New Roman"/>
                <w:b/>
                <w:sz w:val="24"/>
                <w:szCs w:val="24"/>
              </w:rPr>
              <w:t>4, 19, 20:</w:t>
            </w:r>
          </w:p>
          <w:p w14:paraId="02DC485F" w14:textId="77777777" w:rsidR="0044144F" w:rsidRDefault="00000000">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1.1: 4.3</w:t>
            </w:r>
          </w:p>
          <w:p w14:paraId="57D10781" w14:textId="77777777" w:rsidR="0044144F" w:rsidRDefault="00000000">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1.2: 4.1, 4.2</w:t>
            </w:r>
          </w:p>
          <w:p w14:paraId="0919B30A" w14:textId="77777777" w:rsidR="0044144F" w:rsidRDefault="00000000">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1.3: 4.1, 4.4</w:t>
            </w:r>
          </w:p>
          <w:p w14:paraId="39F64293" w14:textId="77777777" w:rsidR="0044144F" w:rsidRDefault="00000000">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1.4: 4.1, 4.4</w:t>
            </w:r>
          </w:p>
          <w:p w14:paraId="3764E73B" w14:textId="77777777" w:rsidR="0044144F" w:rsidRDefault="00000000">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1.5: 19.2, 20.3</w:t>
            </w:r>
          </w:p>
        </w:tc>
      </w:tr>
      <w:tr w:rsidR="0044144F" w14:paraId="623A1440" w14:textId="77777777">
        <w:tc>
          <w:tcPr>
            <w:tcW w:w="9029" w:type="dxa"/>
            <w:shd w:val="clear" w:color="auto" w:fill="auto"/>
            <w:tcMar>
              <w:top w:w="100" w:type="dxa"/>
              <w:left w:w="100" w:type="dxa"/>
              <w:bottom w:w="100" w:type="dxa"/>
              <w:right w:w="100" w:type="dxa"/>
            </w:tcMar>
          </w:tcPr>
          <w:p w14:paraId="7F25A50E" w14:textId="77777777" w:rsidR="0044144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Leerdoelen Hoofdstuk 1</w:t>
            </w:r>
          </w:p>
        </w:tc>
      </w:tr>
      <w:tr w:rsidR="0044144F" w14:paraId="5007921E" w14:textId="77777777">
        <w:tc>
          <w:tcPr>
            <w:tcW w:w="9029" w:type="dxa"/>
            <w:shd w:val="clear" w:color="auto" w:fill="auto"/>
            <w:tcMar>
              <w:top w:w="100" w:type="dxa"/>
              <w:left w:w="100" w:type="dxa"/>
              <w:bottom w:w="100" w:type="dxa"/>
              <w:right w:w="100" w:type="dxa"/>
            </w:tcMar>
          </w:tcPr>
          <w:p w14:paraId="6927D95A" w14:textId="77777777" w:rsidR="0044144F"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1.1: Identiteit</w:t>
            </w:r>
          </w:p>
          <w:p w14:paraId="38CA466F" w14:textId="77777777" w:rsidR="0044144F" w:rsidRDefault="00000000">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van het begrip ‘referentiekader’ geven en kan de invloed van het referentiekader op het menselijk denken en handelen uitleggen aan de hand van een (zelfgekozen) bron. </w:t>
            </w:r>
          </w:p>
          <w:p w14:paraId="42FCEA03" w14:textId="77777777" w:rsidR="0044144F" w:rsidRDefault="00000000">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van het kernconcept ‘identiteit’ geven, herkennen in en toepassen op een (zelfgekozen) bron. </w:t>
            </w:r>
          </w:p>
          <w:p w14:paraId="7BAA5F2F" w14:textId="77777777" w:rsidR="0044144F" w:rsidRDefault="00000000">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kan een omschrijving geven van persoonlijke, sociale en interne/externe collectieve identiteit en deze onderscheiden en herkennen in een (zelfgekozen) </w:t>
            </w:r>
            <w:r>
              <w:rPr>
                <w:rFonts w:ascii="Times New Roman" w:eastAsia="Times New Roman" w:hAnsi="Times New Roman" w:cs="Times New Roman"/>
                <w:sz w:val="24"/>
                <w:szCs w:val="24"/>
              </w:rPr>
              <w:lastRenderedPageBreak/>
              <w:t xml:space="preserve">bron. </w:t>
            </w:r>
          </w:p>
          <w:p w14:paraId="52129611" w14:textId="77777777" w:rsidR="0044144F" w:rsidRDefault="00000000">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aan de hand van een (zelfgekozen) bron uitleggen hoe persoonlijke, sociale en interne/externe identiteit op gespannen voet kunnen staan en kan in deze uitleg gebruik maken van het begrip ‘loyaliteitsconflict’.</w:t>
            </w:r>
          </w:p>
          <w:p w14:paraId="2E13FE17" w14:textId="77777777" w:rsidR="0044144F" w:rsidRDefault="00000000">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het dynamische/veranderlijke karakter van ‘identiteit’ omschrijven en kan dit toepassen op een (zelfgekozen) bron.</w:t>
            </w:r>
          </w:p>
        </w:tc>
      </w:tr>
      <w:tr w:rsidR="0044144F" w14:paraId="2C6B7A7D" w14:textId="77777777">
        <w:tc>
          <w:tcPr>
            <w:tcW w:w="9029" w:type="dxa"/>
            <w:shd w:val="clear" w:color="auto" w:fill="auto"/>
            <w:tcMar>
              <w:top w:w="100" w:type="dxa"/>
              <w:left w:w="100" w:type="dxa"/>
              <w:bottom w:w="100" w:type="dxa"/>
              <w:right w:w="100" w:type="dxa"/>
            </w:tcMar>
          </w:tcPr>
          <w:p w14:paraId="4D7D79F7"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Paragraaf 1.2: Socialisatie</w:t>
            </w:r>
          </w:p>
          <w:p w14:paraId="61BCD63D"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van het kernconcept ‘socialisatie’ geven, herkennen in en toepassen op een (zelfgekozen) bron. </w:t>
            </w:r>
          </w:p>
          <w:p w14:paraId="2473D660"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twee elementen van socialisatie onderscheiden en toepassen op een (zelfgekozen) bron. </w:t>
            </w:r>
          </w:p>
          <w:p w14:paraId="0AF3F027"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begrip ‘socialisator’ en kan deze noemen en herkennen in een (zelfgekozen) bron. </w:t>
            </w:r>
          </w:p>
          <w:p w14:paraId="4B50C263"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uitleggen hoe socialisatie bijdraagt aan het ontstaan en voortbestaan van stereotypen en vooroordelen. </w:t>
            </w:r>
          </w:p>
          <w:p w14:paraId="743E2EF9"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primaire, secundaire en tertiaire socialisatie en kan deze herkennen in en toepassen op een (zelfgekozen)bron. </w:t>
            </w:r>
          </w:p>
          <w:p w14:paraId="109CEC96"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‘actor’, ‘internaliseren’, ‘imitatie’ en ‘identificatie’ en kan uitleggen hoe deze bijdragen aan het socialisatieproces. </w:t>
            </w:r>
          </w:p>
          <w:p w14:paraId="6F2D0025"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5 functies van socialisatie voor de samenleving noemen en omschrijven en kan deze toepassen op een (zelfgekozen) bron. </w:t>
            </w:r>
          </w:p>
        </w:tc>
      </w:tr>
      <w:tr w:rsidR="0044144F" w14:paraId="6F9CD585" w14:textId="77777777">
        <w:tc>
          <w:tcPr>
            <w:tcW w:w="9029" w:type="dxa"/>
            <w:shd w:val="clear" w:color="auto" w:fill="auto"/>
            <w:tcMar>
              <w:top w:w="100" w:type="dxa"/>
              <w:left w:w="100" w:type="dxa"/>
              <w:bottom w:w="100" w:type="dxa"/>
              <w:right w:w="100" w:type="dxa"/>
            </w:tcMar>
          </w:tcPr>
          <w:p w14:paraId="3246C861"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1.3: Cultuur</w:t>
            </w:r>
          </w:p>
          <w:p w14:paraId="60820934"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definitie van het kernconcept ‘cultuur’ geven, herkennen in en toepassen op een (zelfgekozen) bron.</w:t>
            </w:r>
          </w:p>
          <w:p w14:paraId="77A7F32B"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vijf cultuurelementen noemen, omschrijven en onderscheiden en herkennen in een (zelfgekozen) bron. </w:t>
            </w:r>
          </w:p>
          <w:p w14:paraId="0128AC51"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met behulp van het kernconcept ‘cultuur’ menselijk gedrag, opvattingen of emoties die in een bron beschreven staan verklaren of voorspellen </w:t>
            </w:r>
          </w:p>
          <w:p w14:paraId="10673DED"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begrippen ‘materiële cultuur’ en ‘immateriële cultuur’ en kan deze herkennen in, onderscheiden in en toepassen op een (zelfgekozen) bron.</w:t>
            </w:r>
          </w:p>
          <w:p w14:paraId="63BF5DCD"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dat ‘cultuur’ relatief en dynamisch is en kan dit herkennen in en toepassen op een (zelfgekozen) bron. </w:t>
            </w:r>
          </w:p>
          <w:p w14:paraId="3F7E695C"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nature-nurture debat en op grond hiervan uitspraken doen over menselijk handelen. </w:t>
            </w:r>
            <w:r>
              <w:rPr>
                <w:rFonts w:ascii="Times New Roman" w:eastAsia="Times New Roman" w:hAnsi="Times New Roman" w:cs="Times New Roman"/>
                <w:sz w:val="24"/>
                <w:szCs w:val="24"/>
              </w:rPr>
              <w:tab/>
            </w:r>
          </w:p>
        </w:tc>
      </w:tr>
      <w:tr w:rsidR="0044144F" w14:paraId="5183C57F" w14:textId="77777777">
        <w:tc>
          <w:tcPr>
            <w:tcW w:w="9029" w:type="dxa"/>
            <w:shd w:val="clear" w:color="auto" w:fill="auto"/>
            <w:tcMar>
              <w:top w:w="100" w:type="dxa"/>
              <w:left w:w="100" w:type="dxa"/>
              <w:bottom w:w="100" w:type="dxa"/>
              <w:right w:w="100" w:type="dxa"/>
            </w:tcMar>
          </w:tcPr>
          <w:p w14:paraId="6EB84D1E"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1.4: Acculturatie en socialisatie</w:t>
            </w:r>
          </w:p>
          <w:p w14:paraId="2F737734"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‘dominante cultuur’, ‘subcultuur’ en ‘tegencultuur’ en kan deze onderscheiden in een (zelfgekozen) bron. </w:t>
            </w:r>
          </w:p>
          <w:p w14:paraId="7BB0D0BE"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definitie van het kernconcept ‘acculturatie’ geven, herkennen in en toepassen op een (zelfgekozen) bron.</w:t>
            </w:r>
          </w:p>
          <w:p w14:paraId="4944F478"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begrip ‘enculturatie’ en kan dit onderscheiden van het kernconcept ‘acculturatie’. </w:t>
            </w:r>
          </w:p>
          <w:p w14:paraId="75638BB6"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milieu afhankelijkheid van het socialisatieproces. </w:t>
            </w:r>
          </w:p>
          <w:p w14:paraId="06F3C972"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begrippen ‘economische kapitaal’, ‘sociaal kapitaal’ en ‘cultuur kapitaal’ en kan deze onderscheiden, herkennen in en toepassen op een (zelfgekozen) bron.</w:t>
            </w:r>
          </w:p>
        </w:tc>
      </w:tr>
      <w:tr w:rsidR="0044144F" w14:paraId="6F471775" w14:textId="77777777">
        <w:tc>
          <w:tcPr>
            <w:tcW w:w="9029" w:type="dxa"/>
            <w:shd w:val="clear" w:color="auto" w:fill="auto"/>
            <w:tcMar>
              <w:top w:w="100" w:type="dxa"/>
              <w:left w:w="100" w:type="dxa"/>
              <w:bottom w:w="100" w:type="dxa"/>
              <w:right w:w="100" w:type="dxa"/>
            </w:tcMar>
          </w:tcPr>
          <w:p w14:paraId="473C83FC"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Paragraaf 1.5: Vorming in een veranderende samenleving</w:t>
            </w:r>
          </w:p>
          <w:p w14:paraId="77A03522"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definitie van het kernconcept ‘individualisering’ geven, herkennen in en toepassen op een (zelfgekozen) bron.</w:t>
            </w:r>
          </w:p>
          <w:p w14:paraId="58234A58"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geven van het kernconcept ‘globalisering’, herkennen in en kan deze toepassen op een (zelfgekozen) bron. </w:t>
            </w:r>
          </w:p>
          <w:p w14:paraId="5CE7E882"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kanttekening bij het meetbaar maken van ‘individualisering’  omschrijven en herkennen in en toepassen op een (zelfgekozen) bron. </w:t>
            </w:r>
          </w:p>
          <w:p w14:paraId="47CFBB90"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drie voordelen en twee nadelen noemen van individualisering en kan deze toepassen op een (zelfgekozen) bron. </w:t>
            </w:r>
          </w:p>
          <w:p w14:paraId="075B5237"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twee soorten moderne gezinnen omschrijven, onderscheiden en herkennen in een (zelfgekozen) bron. </w:t>
            </w:r>
          </w:p>
          <w:p w14:paraId="556DC5B8"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van het begrip ‘secularisering’ en kan dit herkennen in en toepassen op een (zelfgekozen) bron. </w:t>
            </w:r>
          </w:p>
        </w:tc>
      </w:tr>
    </w:tbl>
    <w:p w14:paraId="155BC7C3" w14:textId="77777777" w:rsidR="0044144F" w:rsidRDefault="0044144F">
      <w:pPr>
        <w:rPr>
          <w:rFonts w:ascii="Times New Roman" w:eastAsia="Times New Roman" w:hAnsi="Times New Roman" w:cs="Times New Roman"/>
          <w:sz w:val="24"/>
          <w:szCs w:val="24"/>
        </w:rPr>
      </w:pPr>
    </w:p>
    <w:p w14:paraId="7D0B38D0" w14:textId="77777777" w:rsidR="0044144F" w:rsidRDefault="0044144F">
      <w:pPr>
        <w:rPr>
          <w:rFonts w:ascii="Times New Roman" w:eastAsia="Times New Roman" w:hAnsi="Times New Roman" w:cs="Times New Roman"/>
          <w:sz w:val="24"/>
          <w:szCs w:val="24"/>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4144F" w14:paraId="43690E6F" w14:textId="77777777">
        <w:tc>
          <w:tcPr>
            <w:tcW w:w="9029" w:type="dxa"/>
            <w:shd w:val="clear" w:color="auto" w:fill="auto"/>
            <w:tcMar>
              <w:top w:w="100" w:type="dxa"/>
              <w:left w:w="100" w:type="dxa"/>
              <w:bottom w:w="100" w:type="dxa"/>
              <w:right w:w="100" w:type="dxa"/>
            </w:tcMar>
          </w:tcPr>
          <w:p w14:paraId="328F6D83" w14:textId="77777777" w:rsidR="0044144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Hoofdstuk 2: De Samenleving en Verschillen</w:t>
            </w:r>
          </w:p>
        </w:tc>
      </w:tr>
      <w:tr w:rsidR="0044144F" w14:paraId="2EFC8253" w14:textId="77777777">
        <w:tc>
          <w:tcPr>
            <w:tcW w:w="9029" w:type="dxa"/>
            <w:shd w:val="clear" w:color="auto" w:fill="auto"/>
            <w:tcMar>
              <w:top w:w="100" w:type="dxa"/>
              <w:left w:w="100" w:type="dxa"/>
              <w:bottom w:w="100" w:type="dxa"/>
              <w:right w:w="100" w:type="dxa"/>
            </w:tcMar>
          </w:tcPr>
          <w:p w14:paraId="305B9BFB"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Hoofdstuk 2 behandelt eindtermen </w:t>
            </w:r>
            <w:r>
              <w:rPr>
                <w:rFonts w:ascii="Times New Roman" w:eastAsia="Times New Roman" w:hAnsi="Times New Roman" w:cs="Times New Roman"/>
                <w:b/>
                <w:sz w:val="24"/>
                <w:szCs w:val="24"/>
              </w:rPr>
              <w:t>9, 10, 11 16, 20 en 21</w:t>
            </w:r>
          </w:p>
          <w:p w14:paraId="457BB5FD"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2.1: 9.1, 16.2, 21.3</w:t>
            </w:r>
          </w:p>
          <w:p w14:paraId="36018187"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2.2: 10.1, 16.2</w:t>
            </w:r>
          </w:p>
          <w:p w14:paraId="72D2F0FB"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2.3: 10.1</w:t>
            </w:r>
          </w:p>
          <w:p w14:paraId="2173BE54"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2.4: 11.1, 11.2, 11.3</w:t>
            </w:r>
          </w:p>
          <w:p w14:paraId="70595AC7"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2.5: 20.2, 20.3</w:t>
            </w:r>
          </w:p>
        </w:tc>
      </w:tr>
      <w:tr w:rsidR="0044144F" w14:paraId="7FB7187F" w14:textId="77777777">
        <w:tc>
          <w:tcPr>
            <w:tcW w:w="9029" w:type="dxa"/>
            <w:shd w:val="clear" w:color="auto" w:fill="auto"/>
            <w:tcMar>
              <w:top w:w="100" w:type="dxa"/>
              <w:left w:w="100" w:type="dxa"/>
              <w:bottom w:w="100" w:type="dxa"/>
              <w:right w:w="100" w:type="dxa"/>
            </w:tcMar>
          </w:tcPr>
          <w:p w14:paraId="282071B6" w14:textId="77777777" w:rsidR="0044144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Leerdoelen Hoofdstuk 2</w:t>
            </w:r>
          </w:p>
        </w:tc>
      </w:tr>
      <w:tr w:rsidR="0044144F" w14:paraId="14D336D0" w14:textId="77777777">
        <w:tc>
          <w:tcPr>
            <w:tcW w:w="9029" w:type="dxa"/>
            <w:shd w:val="clear" w:color="auto" w:fill="auto"/>
            <w:tcMar>
              <w:top w:w="100" w:type="dxa"/>
              <w:left w:w="100" w:type="dxa"/>
              <w:bottom w:w="100" w:type="dxa"/>
              <w:right w:w="100" w:type="dxa"/>
            </w:tcMar>
          </w:tcPr>
          <w:p w14:paraId="2E33C7FC"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2.1: Sociale ongelijkheid</w:t>
            </w:r>
          </w:p>
          <w:p w14:paraId="138BCE2A"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van het kernconcept ‘sociale ongelijkheid’ geven, herkennen in en toepassen op een (zelfgekozen) bron. </w:t>
            </w:r>
          </w:p>
          <w:p w14:paraId="7570DCE6"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vier ongelijk verdeelde hulpbronnen  en kan deze onderscheiden, herkennen in en toepassen op een (zelfgekozen) bron.</w:t>
            </w:r>
          </w:p>
          <w:p w14:paraId="05D753E0"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begrippen ‘maatschappelijke ladder’, ‘beroepsprestigeladder’, ‘sociale stratificatie’ en ‘sociale lagen’ en kan deze herkennen in en toepassen op een (zelfgekozen) bron.</w:t>
            </w:r>
          </w:p>
          <w:p w14:paraId="30B976A4"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‘positietoewijzing’ en ‘positieverwerving’ en kan deze onderscheiden, herkennen in en toepassen op een (zelfgekozen) bron. </w:t>
            </w:r>
          </w:p>
          <w:p w14:paraId="5609493E"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‘open samenleving’ en ‘gesloten samenleving’ en kan deze onderscheiden, herkennen in en toepassen op een (zelfgekozen) bron. </w:t>
            </w:r>
          </w:p>
          <w:p w14:paraId="3D4BBD4B"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‘collectieve goederen’ en ‘private goederen’ en kan deze onderscheiden, herkennen in en toepassen op een (zelfgekozen) bron. </w:t>
            </w:r>
          </w:p>
          <w:p w14:paraId="1DA9C40F"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dilemma van collectieve actie en kan dit herkennen in en toepassen op een (zelfgekozen) bron. </w:t>
            </w:r>
          </w:p>
        </w:tc>
      </w:tr>
      <w:tr w:rsidR="0044144F" w14:paraId="0D496330" w14:textId="77777777">
        <w:tc>
          <w:tcPr>
            <w:tcW w:w="9029" w:type="dxa"/>
            <w:shd w:val="clear" w:color="auto" w:fill="auto"/>
            <w:tcMar>
              <w:top w:w="100" w:type="dxa"/>
              <w:left w:w="100" w:type="dxa"/>
              <w:bottom w:w="100" w:type="dxa"/>
              <w:right w:w="100" w:type="dxa"/>
            </w:tcMar>
          </w:tcPr>
          <w:p w14:paraId="05EA885B"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2.2: Macht</w:t>
            </w:r>
          </w:p>
          <w:p w14:paraId="117DC6C8"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definitie van het kernconcept ‘macht’ geven, herkennen in en toepassen op een (zelfgekozen) bron.</w:t>
            </w:r>
          </w:p>
          <w:p w14:paraId="213F9138"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Ik kan de twee elementen van de definitie van het kernconcept ‘macht’ onderscheiden, herkennen in en toepassen op een (zelfgekozen) bron. </w:t>
            </w:r>
          </w:p>
          <w:p w14:paraId="1EB2CB6A"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vier machtsbronnen noemen, omschrijven en herkennen in en toepassen op een (zelfgekozen) bron. </w:t>
            </w:r>
          </w:p>
          <w:p w14:paraId="4C327294"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omschrijven dat dwang een oplossing is voor het dilemma van collectieve actie en kan dit herkennen in en toepassen op een (zelfgekozen) bron.</w:t>
            </w:r>
          </w:p>
          <w:p w14:paraId="46628623"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dat macht een asymmetrische relatie inhoudt. </w:t>
            </w:r>
          </w:p>
          <w:p w14:paraId="4CC0B58B"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begrippen ‘ machtsevenwicht’, ‘machtsvacuüm’ en ‘hegemonie’ en kan deze onderscheiden, herkennen in en toepassen op een (zelfgekozen) bron.</w:t>
            </w:r>
          </w:p>
          <w:p w14:paraId="1801849E"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‘informele macht’ en ‘formele macht’ en kan deze onderscheiden, herkennen in en toepassen op een (zelfgekozen) bron. </w:t>
            </w:r>
          </w:p>
        </w:tc>
      </w:tr>
      <w:tr w:rsidR="0044144F" w14:paraId="79CDAFB2" w14:textId="77777777">
        <w:tc>
          <w:tcPr>
            <w:tcW w:w="9029" w:type="dxa"/>
            <w:shd w:val="clear" w:color="auto" w:fill="auto"/>
            <w:tcMar>
              <w:top w:w="100" w:type="dxa"/>
              <w:left w:w="100" w:type="dxa"/>
              <w:bottom w:w="100" w:type="dxa"/>
              <w:right w:w="100" w:type="dxa"/>
            </w:tcMar>
          </w:tcPr>
          <w:p w14:paraId="536EEE58"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Paragraaf 2.3: Gezag en niveaus</w:t>
            </w:r>
          </w:p>
          <w:p w14:paraId="61BA91DD"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definitie van het kernconcept ‘gezag’ geven, herkennen in en toepassen op een (zelfgekozen) bron.</w:t>
            </w:r>
          </w:p>
          <w:p w14:paraId="4D7ABAB4"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drie bronnen waaraan iemand gezag ontleent noemen, omschrijven en herkennen in en toepassen op een (zelfgekozen) bron.</w:t>
            </w:r>
          </w:p>
          <w:p w14:paraId="7859690C"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‘politiek gezag’ en kan dit herkennen in en toepassen op een (zelfgekozen) bron.  </w:t>
            </w:r>
          </w:p>
          <w:p w14:paraId="191FF383"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drie niveaus waarop maatschappelijke verschijnselen worden bestudeerd noemen, omschrijven en herkennen in en toepassen op een (zelfgekozen) bron.</w:t>
            </w:r>
          </w:p>
        </w:tc>
      </w:tr>
      <w:tr w:rsidR="0044144F" w14:paraId="6CC1886A" w14:textId="77777777">
        <w:tc>
          <w:tcPr>
            <w:tcW w:w="9029" w:type="dxa"/>
            <w:shd w:val="clear" w:color="auto" w:fill="auto"/>
            <w:tcMar>
              <w:top w:w="100" w:type="dxa"/>
              <w:left w:w="100" w:type="dxa"/>
              <w:bottom w:w="100" w:type="dxa"/>
              <w:right w:w="100" w:type="dxa"/>
            </w:tcMar>
          </w:tcPr>
          <w:p w14:paraId="62DA27F6"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2.4: Samenwerking en conflict</w:t>
            </w:r>
          </w:p>
          <w:p w14:paraId="663C0293"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definitie van het kernconcept ‘samenwerking’ geven, herkennen in en toepassen op een (zelfgekozen) bron.</w:t>
            </w:r>
          </w:p>
          <w:p w14:paraId="273BA50F"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drie redenen om samen te werken noemen, omschrijven en herkennen in en toepassen op een (zelfgekozen) bron.</w:t>
            </w:r>
          </w:p>
          <w:p w14:paraId="3637FA41"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drie voorwaarden om samen te kunnen werken noemen, omschrijven en herkennen in en toepassen op een (zelfgekozen) bron.</w:t>
            </w:r>
          </w:p>
          <w:p w14:paraId="1C88663C"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‘politieke samenwerking’ en kan dit herkennen in en toepassen op een (zelfgekozen) bron.</w:t>
            </w:r>
          </w:p>
          <w:p w14:paraId="37C6BE60"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definitie van het kernconcept ‘conflict’ geven, herkennen in en toepassen op een (zelfgekozen) bron.</w:t>
            </w:r>
          </w:p>
          <w:p w14:paraId="5E8233A7"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conflictbenaderingen (conflicttheorieën) van Marx en Huntington omschrijven, herkennen in en  toepassen op een (zelfgekozen) bron. </w:t>
            </w:r>
          </w:p>
          <w:p w14:paraId="44047226"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‘politieke conflicten’ en kan dit herkennen in en toepassen op een (zelfgekozen) bron.</w:t>
            </w:r>
          </w:p>
          <w:p w14:paraId="799BE588"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‘latent conflict’ en ‘manifest conflict’ en kan deze onderscheiden, herkennen in en toepassen op een (zelfgekozen) bron. </w:t>
            </w:r>
          </w:p>
        </w:tc>
      </w:tr>
      <w:tr w:rsidR="0044144F" w14:paraId="35846087" w14:textId="77777777">
        <w:tc>
          <w:tcPr>
            <w:tcW w:w="9029" w:type="dxa"/>
            <w:shd w:val="clear" w:color="auto" w:fill="auto"/>
            <w:tcMar>
              <w:top w:w="100" w:type="dxa"/>
              <w:left w:w="100" w:type="dxa"/>
              <w:bottom w:w="100" w:type="dxa"/>
              <w:right w:w="100" w:type="dxa"/>
            </w:tcMar>
          </w:tcPr>
          <w:p w14:paraId="579B4E01"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2.5: Verhouding in een veranderende samenleving</w:t>
            </w:r>
          </w:p>
          <w:p w14:paraId="7C0C742C"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definitie van het kernconcept ‘democratisering’ geven, herkennen in en toepassen op een (zelfgekozen) bron.</w:t>
            </w:r>
          </w:p>
          <w:p w14:paraId="04D1A6D6"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van het kernconcept ‘globalisering’ geven, herkennen in  en toepassen op een (zelfgekozen) bron. </w:t>
            </w:r>
          </w:p>
          <w:p w14:paraId="79FA141D"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‘actief kiesrecht’ en ‘passief kiesrecht’ en kan deze herkennen in, onderscheiden in en toepassen op een </w:t>
            </w:r>
            <w:r>
              <w:rPr>
                <w:rFonts w:ascii="Times New Roman" w:eastAsia="Times New Roman" w:hAnsi="Times New Roman" w:cs="Times New Roman"/>
                <w:sz w:val="24"/>
                <w:szCs w:val="24"/>
              </w:rPr>
              <w:lastRenderedPageBreak/>
              <w:t xml:space="preserve">(zelfgekozen) bron. </w:t>
            </w:r>
          </w:p>
          <w:p w14:paraId="09E29B78"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‘klassieke vrijheidsrechten’, ‘politieke rechten’ en ‘sociale rechten’ en kan deze herkennen in, onderscheiden in en toepassen op een (zelfgekozen) bron. </w:t>
            </w:r>
          </w:p>
          <w:p w14:paraId="5572F2AE"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uitleggen hoe de drie verschillende soorten rechten hebben bijgedragen aan het ontstaan van de ‘rechtsstaat’, ‘parlementaire democratie’ en ‘verzorgingsstaat’</w:t>
            </w:r>
          </w:p>
          <w:p w14:paraId="35D4DDDF"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verklaren hoe de ‘rechtsstaat’, ‘parlementaire democratie’ en ‘verzorgingsstaat’ zijn ontstaat met behulp van de definitie van het kernconcept ‘democratisering’. </w:t>
            </w:r>
          </w:p>
          <w:p w14:paraId="425073A0"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begrippen ‘onderhandelingshuishouden’ en ‘bevelshuishouding’, kan deze onderscheiden, herkennen in en toepassen op een (zelfgekozen) bron</w:t>
            </w:r>
          </w:p>
          <w:p w14:paraId="2370A322"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uitleggen dat socialisatoren een veranderende rol hebben aangenomen sinds 1950. </w:t>
            </w:r>
          </w:p>
          <w:p w14:paraId="332F194F"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drie kanttekeningen van democratisering noemen, omschrijven, herkennen in en toepassen op een (zelfgekozen) bron. </w:t>
            </w:r>
          </w:p>
          <w:p w14:paraId="30EAA9E4"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standpunten van hyperglobalisten en andersglobalisten en kan hierbij vier voorbeelden noemen. </w:t>
            </w:r>
          </w:p>
        </w:tc>
      </w:tr>
    </w:tbl>
    <w:p w14:paraId="3277E692" w14:textId="77777777" w:rsidR="0044144F" w:rsidRDefault="0044144F">
      <w:pPr>
        <w:rPr>
          <w:rFonts w:ascii="Times New Roman" w:eastAsia="Times New Roman" w:hAnsi="Times New Roman" w:cs="Times New Roman"/>
          <w:sz w:val="24"/>
          <w:szCs w:val="24"/>
        </w:rPr>
      </w:pPr>
    </w:p>
    <w:p w14:paraId="3CD54C7A" w14:textId="77777777" w:rsidR="0044144F" w:rsidRDefault="0044144F">
      <w:pPr>
        <w:rPr>
          <w:rFonts w:ascii="Times New Roman" w:eastAsia="Times New Roman" w:hAnsi="Times New Roman" w:cs="Times New Roman"/>
          <w:sz w:val="24"/>
          <w:szCs w:val="24"/>
        </w:rPr>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4144F" w14:paraId="022BBD4A" w14:textId="77777777">
        <w:tc>
          <w:tcPr>
            <w:tcW w:w="9029" w:type="dxa"/>
            <w:shd w:val="clear" w:color="auto" w:fill="auto"/>
            <w:tcMar>
              <w:top w:w="100" w:type="dxa"/>
              <w:left w:w="100" w:type="dxa"/>
              <w:bottom w:w="100" w:type="dxa"/>
              <w:right w:w="100" w:type="dxa"/>
            </w:tcMar>
          </w:tcPr>
          <w:p w14:paraId="5DE3AB33" w14:textId="77777777" w:rsidR="0044144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Hoofdstuk 3: De Samenleving en Bindingen</w:t>
            </w:r>
          </w:p>
        </w:tc>
      </w:tr>
      <w:tr w:rsidR="0044144F" w14:paraId="18586FEC" w14:textId="77777777">
        <w:tc>
          <w:tcPr>
            <w:tcW w:w="9029" w:type="dxa"/>
            <w:shd w:val="clear" w:color="auto" w:fill="auto"/>
            <w:tcMar>
              <w:top w:w="100" w:type="dxa"/>
              <w:left w:w="100" w:type="dxa"/>
              <w:bottom w:w="100" w:type="dxa"/>
              <w:right w:w="100" w:type="dxa"/>
            </w:tcMar>
          </w:tcPr>
          <w:p w14:paraId="630979BA"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Hoofdstuk 3 behandelt eindtermen </w:t>
            </w:r>
            <w:r>
              <w:rPr>
                <w:rFonts w:ascii="Times New Roman" w:eastAsia="Times New Roman" w:hAnsi="Times New Roman" w:cs="Times New Roman"/>
                <w:b/>
                <w:sz w:val="24"/>
                <w:szCs w:val="24"/>
              </w:rPr>
              <w:t>4, 14, 19 en 20</w:t>
            </w:r>
          </w:p>
          <w:p w14:paraId="7D8FB71A"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3.1: 14.1, 14.3</w:t>
            </w:r>
          </w:p>
          <w:p w14:paraId="0D704BD2"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3.2: 14.4</w:t>
            </w:r>
          </w:p>
          <w:p w14:paraId="28197601"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3.3: 14.5</w:t>
            </w:r>
          </w:p>
          <w:p w14:paraId="73D0DF79"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3.4: 4.4</w:t>
            </w:r>
          </w:p>
          <w:p w14:paraId="2F1A205E" w14:textId="5BCE3A79"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Paragraaf 3.5: </w:t>
            </w:r>
            <w:r w:rsidRPr="00BA47D0">
              <w:rPr>
                <w:rFonts w:ascii="Times New Roman" w:eastAsia="Times New Roman" w:hAnsi="Times New Roman" w:cs="Times New Roman"/>
                <w:sz w:val="24"/>
                <w:szCs w:val="24"/>
                <w:highlight w:val="yellow"/>
              </w:rPr>
              <w:t>19.3</w:t>
            </w:r>
            <w:r w:rsidR="00BA47D0" w:rsidRPr="00BA47D0">
              <w:rPr>
                <w:rFonts w:ascii="Times New Roman" w:eastAsia="Times New Roman" w:hAnsi="Times New Roman" w:cs="Times New Roman"/>
                <w:sz w:val="24"/>
                <w:szCs w:val="24"/>
                <w:highlight w:val="yellow"/>
              </w:rPr>
              <w:t xml:space="preserve"> (in het boek </w:t>
            </w:r>
            <w:r w:rsidR="00BA47D0">
              <w:rPr>
                <w:rFonts w:ascii="Times New Roman" w:eastAsia="Times New Roman" w:hAnsi="Times New Roman" w:cs="Times New Roman"/>
                <w:sz w:val="24"/>
                <w:szCs w:val="24"/>
                <w:highlight w:val="yellow"/>
              </w:rPr>
              <w:t>kan</w:t>
            </w:r>
            <w:r w:rsidR="00BA47D0" w:rsidRPr="00BA47D0">
              <w:rPr>
                <w:rFonts w:ascii="Times New Roman" w:eastAsia="Times New Roman" w:hAnsi="Times New Roman" w:cs="Times New Roman"/>
                <w:sz w:val="24"/>
                <w:szCs w:val="24"/>
                <w:highlight w:val="yellow"/>
              </w:rPr>
              <w:t xml:space="preserve"> 19.2</w:t>
            </w:r>
            <w:r w:rsidR="00BA47D0">
              <w:rPr>
                <w:rFonts w:ascii="Times New Roman" w:eastAsia="Times New Roman" w:hAnsi="Times New Roman" w:cs="Times New Roman"/>
                <w:sz w:val="24"/>
                <w:szCs w:val="24"/>
                <w:highlight w:val="yellow"/>
              </w:rPr>
              <w:t xml:space="preserve"> staan; dat is onjuist</w:t>
            </w:r>
            <w:r w:rsidR="00BA47D0" w:rsidRPr="00BA47D0">
              <w:rPr>
                <w:rFonts w:ascii="Times New Roman" w:eastAsia="Times New Roman" w:hAnsi="Times New Roman" w:cs="Times New Roman"/>
                <w:sz w:val="24"/>
                <w:szCs w:val="24"/>
                <w:highlight w:val="yellow"/>
              </w:rPr>
              <w:t>)</w:t>
            </w:r>
            <w:r w:rsidRPr="00BA47D0">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20.3</w:t>
            </w:r>
          </w:p>
        </w:tc>
      </w:tr>
      <w:tr w:rsidR="0044144F" w14:paraId="56B55A50" w14:textId="77777777">
        <w:tc>
          <w:tcPr>
            <w:tcW w:w="9029" w:type="dxa"/>
            <w:shd w:val="clear" w:color="auto" w:fill="auto"/>
            <w:tcMar>
              <w:top w:w="100" w:type="dxa"/>
              <w:left w:w="100" w:type="dxa"/>
              <w:bottom w:w="100" w:type="dxa"/>
              <w:right w:w="100" w:type="dxa"/>
            </w:tcMar>
          </w:tcPr>
          <w:p w14:paraId="13CA65F0" w14:textId="77777777" w:rsidR="0044144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Leerdoelen Hoofdstuk 3</w:t>
            </w:r>
          </w:p>
        </w:tc>
      </w:tr>
      <w:tr w:rsidR="0044144F" w14:paraId="2557B048" w14:textId="77777777">
        <w:tc>
          <w:tcPr>
            <w:tcW w:w="9029" w:type="dxa"/>
            <w:shd w:val="clear" w:color="auto" w:fill="auto"/>
            <w:tcMar>
              <w:top w:w="100" w:type="dxa"/>
              <w:left w:w="100" w:type="dxa"/>
              <w:bottom w:w="100" w:type="dxa"/>
              <w:right w:w="100" w:type="dxa"/>
            </w:tcMar>
          </w:tcPr>
          <w:p w14:paraId="06569CC3"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3.1: Groepsvorming</w:t>
            </w:r>
          </w:p>
          <w:p w14:paraId="43C89552"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vier vormen van sociale binding noemen, omschrijven, herkennen in en toepassen op een (zelfgekozen) bron. </w:t>
            </w:r>
          </w:p>
          <w:p w14:paraId="01153246"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begrip ‘collectief goed’ en kan dit herkennen in en toepassen op een bron. </w:t>
            </w:r>
          </w:p>
          <w:p w14:paraId="253665D9"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van het kernconcept ‘groepsvorming’ geven, herkennen in  en toepassen op een (zelfgekozen) bron. </w:t>
            </w:r>
          </w:p>
          <w:p w14:paraId="32EDF513"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vijf fases van groepsvorming en kan deze onderscheiden, herkennen in en toepassen op een (zelfgekozen) bron.</w:t>
            </w:r>
          </w:p>
          <w:p w14:paraId="6DDFA491"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‘ingroup’ en ‘outgroup’ en kan deze onderscheiden, herkennen in en toepassen op een (zelfgekozen) bron. </w:t>
            </w:r>
          </w:p>
          <w:p w14:paraId="37B93BE2"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‘insluiting’ en ‘uitsluiting’ en kan deze onderscheiden, herkennen in en toepassen op een (zelfgekozen) bron. </w:t>
            </w:r>
          </w:p>
          <w:p w14:paraId="583B303B"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drie redenen noemen waarom mensen niet (meer) bij een groep horen en kan deze toepassen op een (zelfgekozen) bron. </w:t>
            </w:r>
          </w:p>
          <w:p w14:paraId="71B62D2F"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‘informele sociale controle’ en ‘formele sociale controle’ en kan deze onderscheiden, herkennen in en toepassen op </w:t>
            </w:r>
            <w:r>
              <w:rPr>
                <w:rFonts w:ascii="Times New Roman" w:eastAsia="Times New Roman" w:hAnsi="Times New Roman" w:cs="Times New Roman"/>
                <w:sz w:val="24"/>
                <w:szCs w:val="24"/>
              </w:rPr>
              <w:lastRenderedPageBreak/>
              <w:t xml:space="preserve">een (zelfgekozen) bron. </w:t>
            </w:r>
          </w:p>
          <w:p w14:paraId="74F05789"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‘informele groep’ en ‘formele groep’ en kan deze onderscheiden, herkennen in en toepassen op een (zelfgekozen) bron. </w:t>
            </w:r>
          </w:p>
          <w:p w14:paraId="435B1F86"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‘stereotype’ en ‘vooroordeel’ en kan uitleggen hoe deze een rol spelen in het proces van in- en uitsluiting. </w:t>
            </w:r>
          </w:p>
          <w:p w14:paraId="19D54228"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begrippen ‘primaire groep’ en ‘secundaire groep’ en kan deze onderscheiden, herkennen in en toepassen op een (zelfgekozen) bron.</w:t>
            </w:r>
          </w:p>
        </w:tc>
      </w:tr>
      <w:tr w:rsidR="0044144F" w14:paraId="69CD3D3E" w14:textId="77777777">
        <w:tc>
          <w:tcPr>
            <w:tcW w:w="9029" w:type="dxa"/>
            <w:shd w:val="clear" w:color="auto" w:fill="auto"/>
            <w:tcMar>
              <w:top w:w="100" w:type="dxa"/>
              <w:left w:w="100" w:type="dxa"/>
              <w:bottom w:w="100" w:type="dxa"/>
              <w:right w:w="100" w:type="dxa"/>
            </w:tcMar>
          </w:tcPr>
          <w:p w14:paraId="30127307"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Paragraaf 3.2: Sociale cohesie</w:t>
            </w:r>
          </w:p>
          <w:p w14:paraId="4ED3A836"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drie verschillende sociologische verklaringen over wat samenlevingen bijeenhoudt noemen, omschrijven en herkennen in en toepassen op een (zelfgekozen) bron. </w:t>
            </w:r>
          </w:p>
          <w:p w14:paraId="28E90333"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van het kernconcept ‘sociale cohesie’ geven, herkennen in en toepassen op een (zelfgekozen) bron. </w:t>
            </w:r>
          </w:p>
          <w:p w14:paraId="0E2C7E5E"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verschillende elementen van het kernconcept ‘sociale cohesie’ onderscheiden, omschrijven en toepassen op een (zelfgekozen) bron. </w:t>
            </w:r>
          </w:p>
          <w:p w14:paraId="5BF89086"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minstens één argument noemen waarom sociale cohesie negatieve gevolgen kan hebben. </w:t>
            </w:r>
            <w:r>
              <w:rPr>
                <w:rFonts w:ascii="Times New Roman" w:eastAsia="Times New Roman" w:hAnsi="Times New Roman" w:cs="Times New Roman"/>
                <w:sz w:val="24"/>
                <w:szCs w:val="24"/>
              </w:rPr>
              <w:tab/>
            </w:r>
          </w:p>
        </w:tc>
      </w:tr>
      <w:tr w:rsidR="0044144F" w14:paraId="660B0BDF" w14:textId="77777777">
        <w:tc>
          <w:tcPr>
            <w:tcW w:w="9029" w:type="dxa"/>
            <w:shd w:val="clear" w:color="auto" w:fill="auto"/>
            <w:tcMar>
              <w:top w:w="100" w:type="dxa"/>
              <w:left w:w="100" w:type="dxa"/>
              <w:bottom w:w="100" w:type="dxa"/>
              <w:right w:w="100" w:type="dxa"/>
            </w:tcMar>
          </w:tcPr>
          <w:p w14:paraId="01B36831"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3.3: Sociale institutie</w:t>
            </w:r>
          </w:p>
          <w:p w14:paraId="5AB0CC28"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definitie van het kernconcept ‘sociale institutie’ geven, herkennen in en toepassen op een (zelfgekozen) bron.</w:t>
            </w:r>
          </w:p>
          <w:p w14:paraId="4B9508C1"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minstens één voorbeeld noemen van een sociale institutie en kan dit beargumenteren. </w:t>
            </w:r>
          </w:p>
          <w:p w14:paraId="2F7DA603"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hoe sociale instituties deel uit maken van een cultuur. </w:t>
            </w:r>
          </w:p>
          <w:p w14:paraId="02568906"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hoe sociale instituties invloed hebben op de sociale cohesie in een samenleving. </w:t>
            </w:r>
          </w:p>
          <w:p w14:paraId="4CD36D0B"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vijf kenmerken van een sociale institutie noemen, omschrijven, herkennen in en toepassen op een (zelfgekozen) bron.</w:t>
            </w:r>
            <w:r>
              <w:rPr>
                <w:rFonts w:ascii="Times New Roman" w:eastAsia="Times New Roman" w:hAnsi="Times New Roman" w:cs="Times New Roman"/>
                <w:b/>
                <w:sz w:val="24"/>
                <w:szCs w:val="24"/>
              </w:rPr>
              <w:t xml:space="preserve"> </w:t>
            </w:r>
          </w:p>
        </w:tc>
      </w:tr>
      <w:tr w:rsidR="0044144F" w14:paraId="36CDD4AF" w14:textId="77777777">
        <w:tc>
          <w:tcPr>
            <w:tcW w:w="9029" w:type="dxa"/>
            <w:shd w:val="clear" w:color="auto" w:fill="auto"/>
            <w:tcMar>
              <w:top w:w="100" w:type="dxa"/>
              <w:left w:w="100" w:type="dxa"/>
              <w:bottom w:w="100" w:type="dxa"/>
              <w:right w:w="100" w:type="dxa"/>
            </w:tcMar>
          </w:tcPr>
          <w:p w14:paraId="50D368CA"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3.4: Cultuurdimensies</w:t>
            </w:r>
          </w:p>
          <w:p w14:paraId="5967F41C"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drie niveaus waarop cultuurverschillen zichtbaar zijn noemen, omschrijven en herkennen in en toepassen op een (zelfgekozen) bron. </w:t>
            </w:r>
          </w:p>
          <w:p w14:paraId="040CB124"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zes cultuurdimensies van Hofstede noemen, omschrijven en inzetten bij een analyse van cultuurverschillen in  een (zelfgekozen) bron. </w:t>
            </w:r>
          </w:p>
          <w:p w14:paraId="75F452D2"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uitkomsten van een analyse met de dimensies van Hofstede (indexscores) interpreteren en inzetten in een argument over de betreffende</w:t>
            </w:r>
          </w:p>
          <w:p w14:paraId="391A2A97" w14:textId="77777777" w:rsidR="0044144F"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cultuurverschillen. </w:t>
            </w:r>
          </w:p>
          <w:p w14:paraId="3BE0B6B3"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minstens één punt van kritiek leveren op de cultuurdimensies van Hofstede. </w:t>
            </w:r>
          </w:p>
        </w:tc>
      </w:tr>
      <w:tr w:rsidR="0044144F" w14:paraId="157432A6" w14:textId="77777777">
        <w:tc>
          <w:tcPr>
            <w:tcW w:w="9029" w:type="dxa"/>
            <w:shd w:val="clear" w:color="auto" w:fill="auto"/>
            <w:tcMar>
              <w:top w:w="100" w:type="dxa"/>
              <w:left w:w="100" w:type="dxa"/>
              <w:bottom w:w="100" w:type="dxa"/>
              <w:right w:w="100" w:type="dxa"/>
            </w:tcMar>
          </w:tcPr>
          <w:p w14:paraId="11650762"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3.5: Binding in een veranderende samenleving</w:t>
            </w:r>
          </w:p>
          <w:p w14:paraId="6BD8EADA"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van het kernconcept ‘globalisering’ geven, herkennen in  en toepassen op een (zelfgekozen) bron. </w:t>
            </w:r>
          </w:p>
          <w:p w14:paraId="7BB6AC7F"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van het kernconcept ‘institutionalisering’ geven, herkennen in  en toepassen op een (zelfgekozen) bron. </w:t>
            </w:r>
          </w:p>
          <w:p w14:paraId="2A04755B"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begrip ‘institutie’  en kan deze herkennen in en toepassen op een (zelfgekozen) bron. </w:t>
            </w:r>
          </w:p>
          <w:p w14:paraId="0816E939"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‘kostwinnersgezin’ en </w:t>
            </w:r>
            <w:r>
              <w:rPr>
                <w:rFonts w:ascii="Times New Roman" w:eastAsia="Times New Roman" w:hAnsi="Times New Roman" w:cs="Times New Roman"/>
                <w:sz w:val="24"/>
                <w:szCs w:val="24"/>
              </w:rPr>
              <w:lastRenderedPageBreak/>
              <w:t>‘bevelshuishouding’, kan deze onderscheiden, herkennen in en toepassen op een (zelfgekozen) bron en kan beargumenteren waarom het gezin een institutie is.</w:t>
            </w:r>
          </w:p>
          <w:p w14:paraId="71FDD5EB"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het begrip ‘ verzuiling’ en kan dit herkennen in en toepassen op een (zelfgekozen) bron.</w:t>
            </w:r>
          </w:p>
          <w:p w14:paraId="32048AA3"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drie voordelen en één nadeel noemen van institutionalisering en kan deze toepassen op een (zelfgekozen) bron. </w:t>
            </w:r>
          </w:p>
          <w:p w14:paraId="73476933"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organisatie onderscheiden van een institutie.</w:t>
            </w:r>
          </w:p>
          <w:p w14:paraId="159BCF81"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minstens één institutie noemen dat is veranderd sinds 1950 in Nederland. </w:t>
            </w:r>
          </w:p>
        </w:tc>
      </w:tr>
    </w:tbl>
    <w:p w14:paraId="25C7D948" w14:textId="77777777" w:rsidR="0044144F" w:rsidRDefault="0044144F">
      <w:pPr>
        <w:rPr>
          <w:rFonts w:ascii="Times New Roman" w:eastAsia="Times New Roman" w:hAnsi="Times New Roman" w:cs="Times New Roman"/>
          <w:sz w:val="24"/>
          <w:szCs w:val="24"/>
        </w:rPr>
      </w:pPr>
    </w:p>
    <w:p w14:paraId="7EE763DD" w14:textId="77777777" w:rsidR="0044144F" w:rsidRDefault="0044144F">
      <w:pPr>
        <w:rPr>
          <w:rFonts w:ascii="Times New Roman" w:eastAsia="Times New Roman" w:hAnsi="Times New Roman" w:cs="Times New Roman"/>
          <w:sz w:val="24"/>
          <w:szCs w:val="24"/>
        </w:rPr>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4144F" w14:paraId="25972AEC" w14:textId="77777777">
        <w:tc>
          <w:tcPr>
            <w:tcW w:w="9029" w:type="dxa"/>
            <w:shd w:val="clear" w:color="auto" w:fill="auto"/>
            <w:tcMar>
              <w:top w:w="100" w:type="dxa"/>
              <w:left w:w="100" w:type="dxa"/>
              <w:bottom w:w="100" w:type="dxa"/>
              <w:right w:w="100" w:type="dxa"/>
            </w:tcMar>
          </w:tcPr>
          <w:p w14:paraId="0DEF04C8" w14:textId="77777777" w:rsidR="0044144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Hoofdstuk 4: Onderzoeksvaardigheden</w:t>
            </w:r>
          </w:p>
        </w:tc>
      </w:tr>
      <w:tr w:rsidR="0044144F" w14:paraId="4E11931F" w14:textId="77777777">
        <w:tc>
          <w:tcPr>
            <w:tcW w:w="9029" w:type="dxa"/>
            <w:shd w:val="clear" w:color="auto" w:fill="auto"/>
            <w:tcMar>
              <w:top w:w="100" w:type="dxa"/>
              <w:left w:w="100" w:type="dxa"/>
              <w:bottom w:w="100" w:type="dxa"/>
              <w:right w:w="100" w:type="dxa"/>
            </w:tcMar>
          </w:tcPr>
          <w:p w14:paraId="33567767"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Hoofdstuk 4 behandelt eindtermen </w:t>
            </w:r>
            <w:r>
              <w:rPr>
                <w:rFonts w:ascii="Times New Roman" w:eastAsia="Times New Roman" w:hAnsi="Times New Roman" w:cs="Times New Roman"/>
                <w:b/>
                <w:sz w:val="24"/>
                <w:szCs w:val="24"/>
              </w:rPr>
              <w:t>1, 3, en 14</w:t>
            </w:r>
          </w:p>
          <w:p w14:paraId="172F71D4"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4.1: 1.1, 1.2, 3.1, 3.2</w:t>
            </w:r>
          </w:p>
          <w:p w14:paraId="122E8977"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4.2: 3.2</w:t>
            </w:r>
          </w:p>
          <w:p w14:paraId="1E5C5D98"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4.3: 3.1, 3.2</w:t>
            </w:r>
          </w:p>
          <w:p w14:paraId="587F4F02"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4.4: 3.1, 3.2, 14.3</w:t>
            </w:r>
          </w:p>
          <w:p w14:paraId="2706E1CF"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4.5: 3.2</w:t>
            </w:r>
          </w:p>
        </w:tc>
      </w:tr>
      <w:tr w:rsidR="0044144F" w14:paraId="7C9639BC" w14:textId="77777777">
        <w:tc>
          <w:tcPr>
            <w:tcW w:w="9029" w:type="dxa"/>
            <w:shd w:val="clear" w:color="auto" w:fill="auto"/>
            <w:tcMar>
              <w:top w:w="100" w:type="dxa"/>
              <w:left w:w="100" w:type="dxa"/>
              <w:bottom w:w="100" w:type="dxa"/>
              <w:right w:w="100" w:type="dxa"/>
            </w:tcMar>
          </w:tcPr>
          <w:p w14:paraId="1345ECB3" w14:textId="77777777" w:rsidR="0044144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Leerdoelen Hoofdstuk 4</w:t>
            </w:r>
          </w:p>
        </w:tc>
      </w:tr>
      <w:tr w:rsidR="0044144F" w14:paraId="062608DC" w14:textId="77777777">
        <w:tc>
          <w:tcPr>
            <w:tcW w:w="9029" w:type="dxa"/>
            <w:shd w:val="clear" w:color="auto" w:fill="auto"/>
            <w:tcMar>
              <w:top w:w="100" w:type="dxa"/>
              <w:left w:w="100" w:type="dxa"/>
              <w:bottom w:w="100" w:type="dxa"/>
              <w:right w:w="100" w:type="dxa"/>
            </w:tcMar>
          </w:tcPr>
          <w:p w14:paraId="2A31CFAB"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4.1: Doen van onderzoek</w:t>
            </w:r>
          </w:p>
          <w:p w14:paraId="53F89C07"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w:t>
            </w:r>
            <w:r>
              <w:rPr>
                <w:rFonts w:ascii="Times New Roman" w:eastAsia="Times New Roman" w:hAnsi="Times New Roman" w:cs="Times New Roman"/>
                <w:sz w:val="24"/>
                <w:szCs w:val="24"/>
              </w:rPr>
              <w:tab/>
              <w:t xml:space="preserve">‘objectiviteit’ en ‘subjectiviteit’ en kan deze onderscheiden, herkennen in en toepassen op een (zelfgekozen) bron. </w:t>
            </w:r>
          </w:p>
          <w:p w14:paraId="03868845"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begrip ‘maatschappelijk verschijnsel’. </w:t>
            </w:r>
          </w:p>
          <w:p w14:paraId="5B267CBB"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theoretische deel van onderzoek doen en kan dit uitleggen met behulp van een omschrijving van het begrip ‘literatuurstudie’. </w:t>
            </w:r>
          </w:p>
          <w:p w14:paraId="6E8BFE94"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(zelfgekozen) bron selecteren en analyseren door te kijken naar de betrouwbaarheid, objectiviteit en representativiteit van de bron. </w:t>
            </w:r>
          </w:p>
          <w:p w14:paraId="0BB25C25"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minstens twee kenmerken noemen van kwalitatief en kwantitatief onderzoek noemen. </w:t>
            </w:r>
          </w:p>
          <w:p w14:paraId="5485ABF7"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twee soorten onderzoeksvragen en kan deze onderscheiden, herkennen in en toepassen op een (zelfgekozen) bron.</w:t>
            </w:r>
          </w:p>
          <w:p w14:paraId="2723093C"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vijf verschillende meetinstrumenten benoemen, omschrijven, onderscheiden en herkennen in een (zelfgekozen) bron. </w:t>
            </w:r>
          </w:p>
        </w:tc>
      </w:tr>
      <w:tr w:rsidR="0044144F" w14:paraId="52FC0B3A" w14:textId="77777777">
        <w:tc>
          <w:tcPr>
            <w:tcW w:w="9029" w:type="dxa"/>
            <w:shd w:val="clear" w:color="auto" w:fill="auto"/>
            <w:tcMar>
              <w:top w:w="100" w:type="dxa"/>
              <w:left w:w="100" w:type="dxa"/>
              <w:bottom w:w="100" w:type="dxa"/>
              <w:right w:w="100" w:type="dxa"/>
            </w:tcMar>
          </w:tcPr>
          <w:p w14:paraId="7C2E8D06"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4.2: Kans en variabele</w:t>
            </w:r>
          </w:p>
          <w:p w14:paraId="20E52CB9"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begrippen ‘kans’ en ‘wetmatigheid’ omschrijven, onderscheiden en toepassen op een (zelfgekozen) bron. </w:t>
            </w:r>
          </w:p>
          <w:p w14:paraId="12F16D55"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geven van het begrip ‘variabele’ en kan deze herkennen in en toepassen op een (zelfgekozen) bron. </w:t>
            </w:r>
          </w:p>
        </w:tc>
      </w:tr>
      <w:tr w:rsidR="0044144F" w14:paraId="4E709737" w14:textId="77777777">
        <w:tc>
          <w:tcPr>
            <w:tcW w:w="9029" w:type="dxa"/>
            <w:shd w:val="clear" w:color="auto" w:fill="auto"/>
            <w:tcMar>
              <w:top w:w="100" w:type="dxa"/>
              <w:left w:w="100" w:type="dxa"/>
              <w:bottom w:w="100" w:type="dxa"/>
              <w:right w:w="100" w:type="dxa"/>
            </w:tcMar>
          </w:tcPr>
          <w:p w14:paraId="2A479680"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4.3: Conceptueel model en hypothesen</w:t>
            </w:r>
          </w:p>
          <w:p w14:paraId="17656B98"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variabelen uit een (zelfgekozen) bron correct in een conceptueel model plaatsen en kan op basis hiervan een conclusie vanuit het onderzoek trekken.</w:t>
            </w:r>
          </w:p>
          <w:p w14:paraId="28DD5773"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het begrip ‘hypothese’, kan deze opstellen en herkennen in een (zelfgekozen) bron.</w:t>
            </w:r>
          </w:p>
        </w:tc>
      </w:tr>
      <w:tr w:rsidR="0044144F" w14:paraId="00369D36" w14:textId="77777777">
        <w:tc>
          <w:tcPr>
            <w:tcW w:w="9029" w:type="dxa"/>
            <w:shd w:val="clear" w:color="auto" w:fill="auto"/>
            <w:tcMar>
              <w:top w:w="100" w:type="dxa"/>
              <w:left w:w="100" w:type="dxa"/>
              <w:bottom w:w="100" w:type="dxa"/>
              <w:right w:w="100" w:type="dxa"/>
            </w:tcMar>
          </w:tcPr>
          <w:p w14:paraId="5065FAE9"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4.4: Indicatoren en categorieën</w:t>
            </w:r>
          </w:p>
          <w:p w14:paraId="7357A5FE"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Ik kan een omschrijving geven van het begrip ‘operationaliseren’ en kan dit herkennen in en toepassen op een (zelfgekozen) bron. </w:t>
            </w:r>
          </w:p>
          <w:p w14:paraId="0487E9F4"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begrip ‘indicator’ en kan deze herkennen in en toepassen op een (zelfgekozen) bron. </w:t>
            </w:r>
          </w:p>
          <w:p w14:paraId="6D26DFAC"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drie eisen aan onderzoek doen noemen, omschrijven, onderscheiden en toepassen op een (zelfgekozen) bron. </w:t>
            </w:r>
          </w:p>
          <w:p w14:paraId="075FC5DE" w14:textId="77777777" w:rsidR="0044144F" w:rsidRDefault="00000000">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begrip ‘sociale categorie’ en kan deze herkennen in en toepassen op een (zelfgekozen) bron. </w:t>
            </w:r>
          </w:p>
        </w:tc>
      </w:tr>
      <w:tr w:rsidR="0044144F" w14:paraId="11289C92" w14:textId="77777777">
        <w:tc>
          <w:tcPr>
            <w:tcW w:w="9029" w:type="dxa"/>
            <w:shd w:val="clear" w:color="auto" w:fill="auto"/>
            <w:tcMar>
              <w:top w:w="100" w:type="dxa"/>
              <w:left w:w="100" w:type="dxa"/>
              <w:bottom w:w="100" w:type="dxa"/>
              <w:right w:w="100" w:type="dxa"/>
            </w:tcMar>
          </w:tcPr>
          <w:p w14:paraId="4A39BFA3"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Paragraaf 4.5: Correlatie en causaliteit </w:t>
            </w:r>
          </w:p>
          <w:p w14:paraId="2479B1B3"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‘correlatie’ en ‘causaliteit’ en kan deze onderscheiden, herkennen in en toepassen op een (zelfgekozen) bron. </w:t>
            </w:r>
          </w:p>
          <w:p w14:paraId="6BA2EDF3"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‘afhankelijke variabele’ en ‘onafhankelijke variabele’ en kan deze onderscheiden, herkennen in en toepassen op een (zelfgekozen) bron. </w:t>
            </w:r>
          </w:p>
          <w:p w14:paraId="648F7FE2"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‘interveniërende variabele’ en ‘verstorende variabelen’ en kan deze herkennen in en toepassen op een (zelfgekozen) bron. </w:t>
            </w:r>
          </w:p>
          <w:p w14:paraId="7029DDA3" w14:textId="77777777" w:rsidR="0044144F" w:rsidRDefault="00000000">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‘multicausaliteit’ en ‘schijncausaliteit’ en kan deze herkennen in en toepassen op een (zelfgekozen) bron. </w:t>
            </w:r>
          </w:p>
        </w:tc>
      </w:tr>
    </w:tbl>
    <w:p w14:paraId="5E0B454F" w14:textId="77777777" w:rsidR="0044144F" w:rsidRDefault="0044144F">
      <w:pPr>
        <w:rPr>
          <w:rFonts w:ascii="Times New Roman" w:eastAsia="Times New Roman" w:hAnsi="Times New Roman" w:cs="Times New Roman"/>
          <w:sz w:val="24"/>
          <w:szCs w:val="24"/>
        </w:rPr>
      </w:pPr>
    </w:p>
    <w:p w14:paraId="716ED158" w14:textId="77777777" w:rsidR="0044144F" w:rsidRDefault="0044144F">
      <w:pPr>
        <w:rPr>
          <w:rFonts w:ascii="Times New Roman" w:eastAsia="Times New Roman" w:hAnsi="Times New Roman" w:cs="Times New Roman"/>
          <w:sz w:val="24"/>
          <w:szCs w:val="24"/>
        </w:rPr>
      </w:pPr>
    </w:p>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4144F" w14:paraId="26ACAB3B" w14:textId="77777777">
        <w:tc>
          <w:tcPr>
            <w:tcW w:w="9029" w:type="dxa"/>
            <w:shd w:val="clear" w:color="auto" w:fill="auto"/>
            <w:tcMar>
              <w:top w:w="100" w:type="dxa"/>
              <w:left w:w="100" w:type="dxa"/>
              <w:bottom w:w="100" w:type="dxa"/>
              <w:right w:w="100" w:type="dxa"/>
            </w:tcMar>
          </w:tcPr>
          <w:p w14:paraId="43622184" w14:textId="77777777" w:rsidR="0044144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Hoofdstuk 5: Politieke theorie</w:t>
            </w:r>
          </w:p>
        </w:tc>
      </w:tr>
      <w:tr w:rsidR="0044144F" w14:paraId="46A1F395" w14:textId="77777777">
        <w:tc>
          <w:tcPr>
            <w:tcW w:w="9029" w:type="dxa"/>
            <w:shd w:val="clear" w:color="auto" w:fill="auto"/>
            <w:tcMar>
              <w:top w:w="100" w:type="dxa"/>
              <w:left w:w="100" w:type="dxa"/>
              <w:bottom w:w="100" w:type="dxa"/>
              <w:right w:w="100" w:type="dxa"/>
            </w:tcMar>
          </w:tcPr>
          <w:p w14:paraId="4931CDF3"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Hoofdstuk 5 behandelt eindtermen </w:t>
            </w:r>
            <w:r>
              <w:rPr>
                <w:rFonts w:ascii="Times New Roman" w:eastAsia="Times New Roman" w:hAnsi="Times New Roman" w:cs="Times New Roman"/>
                <w:b/>
                <w:sz w:val="24"/>
                <w:szCs w:val="24"/>
              </w:rPr>
              <w:t>5, 11, 15, 16, 19, 20 en bijlage 5</w:t>
            </w:r>
          </w:p>
          <w:p w14:paraId="16B6C31D"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5.1: 12.1, 16.1, 19.1, 20.1, bijlage 5</w:t>
            </w:r>
          </w:p>
          <w:p w14:paraId="7C67EF39"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5.2: 5.1, 11.3</w:t>
            </w:r>
          </w:p>
          <w:p w14:paraId="3A5146AF"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5.3: 5.2, bijlage 5</w:t>
            </w:r>
          </w:p>
          <w:p w14:paraId="5B116D7B"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5.4: 15.1, 15.2 en bijlage 5</w:t>
            </w:r>
          </w:p>
        </w:tc>
      </w:tr>
      <w:tr w:rsidR="0044144F" w14:paraId="7FB23CBB" w14:textId="77777777">
        <w:tc>
          <w:tcPr>
            <w:tcW w:w="9029" w:type="dxa"/>
            <w:shd w:val="clear" w:color="auto" w:fill="auto"/>
            <w:tcMar>
              <w:top w:w="100" w:type="dxa"/>
              <w:left w:w="100" w:type="dxa"/>
              <w:bottom w:w="100" w:type="dxa"/>
              <w:right w:w="100" w:type="dxa"/>
            </w:tcMar>
          </w:tcPr>
          <w:p w14:paraId="4E0A642F" w14:textId="77777777" w:rsidR="0044144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Leerdoelen Hoofdstuk 5</w:t>
            </w:r>
          </w:p>
        </w:tc>
      </w:tr>
      <w:tr w:rsidR="0044144F" w14:paraId="5A828A14" w14:textId="77777777">
        <w:tc>
          <w:tcPr>
            <w:tcW w:w="9029" w:type="dxa"/>
            <w:shd w:val="clear" w:color="auto" w:fill="auto"/>
            <w:tcMar>
              <w:top w:w="100" w:type="dxa"/>
              <w:left w:w="100" w:type="dxa"/>
              <w:bottom w:w="100" w:type="dxa"/>
              <w:right w:w="100" w:type="dxa"/>
            </w:tcMar>
          </w:tcPr>
          <w:p w14:paraId="73D0D415"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5.1: Staatsvorming</w:t>
            </w:r>
          </w:p>
          <w:p w14:paraId="2D65171A"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‘polity’, ‘politics’ en ‘policy’ en kan deze onderscheiden, herkennen in en toepassen op een (zelfgekozen) bron.</w:t>
            </w:r>
          </w:p>
          <w:p w14:paraId="1A340276"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van het kernconcept ‘staatsvorming’ geven en toepassen op een (zelfgekozen) bron. </w:t>
            </w:r>
          </w:p>
          <w:p w14:paraId="584F1D51"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van het kernconcept ‘rationalisering’ geven en toepassen op een (zelfgekozen) bron. </w:t>
            </w:r>
          </w:p>
          <w:p w14:paraId="6E248BF5"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‘interne soevereiniteit’ en ‘externe soevereiniteit’ en kan deze onderscheiden, herkennen in en toepassen op een (zelfgekozen) bron. </w:t>
            </w:r>
          </w:p>
          <w:p w14:paraId="0B1A268D"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het proces van staatsvorming in Nederland en Europa omschrijven. </w:t>
            </w:r>
          </w:p>
          <w:p w14:paraId="05459C1C"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uitleggen hoe rationalisering heeft bijgedragen aan staatsvorming door gebruik te maken van de drie processen die geleid hebben tot veranderingen van de politieke macht. </w:t>
            </w:r>
          </w:p>
        </w:tc>
      </w:tr>
      <w:tr w:rsidR="0044144F" w14:paraId="5D6920CA" w14:textId="77777777">
        <w:tc>
          <w:tcPr>
            <w:tcW w:w="9029" w:type="dxa"/>
            <w:shd w:val="clear" w:color="auto" w:fill="auto"/>
            <w:tcMar>
              <w:top w:w="100" w:type="dxa"/>
              <w:left w:w="100" w:type="dxa"/>
              <w:bottom w:w="100" w:type="dxa"/>
              <w:right w:w="100" w:type="dxa"/>
            </w:tcMar>
          </w:tcPr>
          <w:p w14:paraId="5CF80C09"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5.2: Politieke socialisatie</w:t>
            </w:r>
          </w:p>
          <w:p w14:paraId="32F2AF41"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Ik kan de definitie van het kernconcept ‘politieke socialisatie’ geven, herkennen in en toepassen op een (zelfgekozen) bron.</w:t>
            </w:r>
          </w:p>
          <w:p w14:paraId="233A1F5D"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twee politieke modellen (conflictmodel en harmoniemodel) omschrijven, onderscheiden, herkennen in en toepassen op een (zelfgekozen) bron. </w:t>
            </w:r>
          </w:p>
          <w:p w14:paraId="07D208F5"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‘politieke cultuur’ en kan uitleggen hoe politieke cultuur wordt overgedragen op mensen in de samenleving.  </w:t>
            </w:r>
          </w:p>
          <w:p w14:paraId="1FAE4E23"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hoe het politieke systeem bijdraagt aan politieke socialisatie. </w:t>
            </w:r>
          </w:p>
          <w:p w14:paraId="7CF851DA"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drie functies van politieke socialisatie noemen, omschrijven, herkennen in en toepassen op een (zelfgekozen) bron.  </w:t>
            </w:r>
          </w:p>
        </w:tc>
      </w:tr>
      <w:tr w:rsidR="0044144F" w14:paraId="22E362DB" w14:textId="77777777">
        <w:tc>
          <w:tcPr>
            <w:tcW w:w="9029" w:type="dxa"/>
            <w:shd w:val="clear" w:color="auto" w:fill="auto"/>
            <w:tcMar>
              <w:top w:w="100" w:type="dxa"/>
              <w:left w:w="100" w:type="dxa"/>
              <w:bottom w:w="100" w:type="dxa"/>
              <w:right w:w="100" w:type="dxa"/>
            </w:tcMar>
          </w:tcPr>
          <w:p w14:paraId="251BC452"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Paragraaf 5.3: Politics- Ideologie</w:t>
            </w:r>
          </w:p>
          <w:p w14:paraId="35473696"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definitie van het kernconcept ‘ideologie’ geven, herkennen in en toepassen op een (zelfgekozen) bron.</w:t>
            </w:r>
          </w:p>
          <w:p w14:paraId="0805E632"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vier politieke dimensies omschrijven en kan politieke partijen op basis van deze dimensies onderscheiden en indelen.</w:t>
            </w:r>
          </w:p>
          <w:p w14:paraId="655CCD80"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drie verschillende ideologieën noemen, omschrijven en herkennen in en toepassen op een (zelfgekozen) bron. </w:t>
            </w:r>
          </w:p>
          <w:p w14:paraId="34449053"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denkende vanuit de drie verschillende ideologieën, uitspraken doen over politiek, economie en cultuur. </w:t>
            </w:r>
          </w:p>
          <w:p w14:paraId="45619E6A"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waarom ideologieën ideaaltypen zijn. </w:t>
            </w:r>
          </w:p>
          <w:p w14:paraId="4D070F51"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een ‘single-issue-partij’ en ‘pragmatici’. </w:t>
            </w:r>
          </w:p>
        </w:tc>
      </w:tr>
      <w:tr w:rsidR="0044144F" w14:paraId="007D1162" w14:textId="77777777">
        <w:tc>
          <w:tcPr>
            <w:tcW w:w="9029" w:type="dxa"/>
            <w:shd w:val="clear" w:color="auto" w:fill="auto"/>
            <w:tcMar>
              <w:top w:w="100" w:type="dxa"/>
              <w:left w:w="100" w:type="dxa"/>
              <w:bottom w:w="100" w:type="dxa"/>
              <w:right w:w="100" w:type="dxa"/>
            </w:tcMar>
          </w:tcPr>
          <w:p w14:paraId="08542987"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5.4: Politieke instituties</w:t>
            </w:r>
          </w:p>
          <w:p w14:paraId="1FC9DBD7"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definitie van het kernconcept ‘politieke institutie’ geven, herkennen in en toepassen op een (zelfgekozen) bron.</w:t>
            </w:r>
          </w:p>
          <w:p w14:paraId="1E0378A3"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‘formele politieke institutie’ en ‘informele politieke institutie’ en kan deze onderscheiden, herkennen in en toepassen op een (zelfgekozen) bron. </w:t>
            </w:r>
          </w:p>
          <w:p w14:paraId="0637BB2B"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vier regels noemen van de politieke institutie ‘parlementaire democratie’ en kan deze onderscheiden, herkennen in en toepassen op een (zelfgekozen) bron. </w:t>
            </w:r>
          </w:p>
          <w:p w14:paraId="23140BB5"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een ‘politieke organisatie/overheidsinstelling’ en kan deze onderscheiden van een politieke institutie. </w:t>
            </w:r>
          </w:p>
          <w:p w14:paraId="5311E33D"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zes noodzakelijke politieke vereisten voor een democratie omschrijven en kan deze onderscheiden, herkennen in en toepassen op een (zelfgekozen) bron. </w:t>
            </w:r>
          </w:p>
          <w:p w14:paraId="704775BF"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‘coalitie’ en ‘oppositie’ en kan deze onderscheiden, herkennen in en toepassen op een (zelfgekozen) bron. </w:t>
            </w:r>
          </w:p>
        </w:tc>
      </w:tr>
    </w:tbl>
    <w:p w14:paraId="59108CC7" w14:textId="77777777" w:rsidR="0044144F" w:rsidRDefault="0044144F">
      <w:pPr>
        <w:rPr>
          <w:rFonts w:ascii="Times New Roman" w:eastAsia="Times New Roman" w:hAnsi="Times New Roman" w:cs="Times New Roman"/>
          <w:sz w:val="24"/>
          <w:szCs w:val="24"/>
        </w:rPr>
      </w:pPr>
    </w:p>
    <w:p w14:paraId="6AF5A6A0" w14:textId="77777777" w:rsidR="0044144F" w:rsidRDefault="0044144F">
      <w:pPr>
        <w:rPr>
          <w:rFonts w:ascii="Times New Roman" w:eastAsia="Times New Roman" w:hAnsi="Times New Roman" w:cs="Times New Roman"/>
          <w:sz w:val="24"/>
          <w:szCs w:val="24"/>
        </w:rPr>
      </w:pP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4144F" w14:paraId="2525AF6F" w14:textId="77777777">
        <w:tc>
          <w:tcPr>
            <w:tcW w:w="9029" w:type="dxa"/>
            <w:shd w:val="clear" w:color="auto" w:fill="auto"/>
            <w:tcMar>
              <w:top w:w="100" w:type="dxa"/>
              <w:left w:w="100" w:type="dxa"/>
              <w:bottom w:w="100" w:type="dxa"/>
              <w:right w:w="100" w:type="dxa"/>
            </w:tcMar>
          </w:tcPr>
          <w:p w14:paraId="6D0648D9" w14:textId="77777777" w:rsidR="0044144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Hoofdstuk 6: Politiek in de praktijk</w:t>
            </w:r>
          </w:p>
        </w:tc>
      </w:tr>
      <w:tr w:rsidR="0044144F" w14:paraId="25C3860D" w14:textId="77777777">
        <w:tc>
          <w:tcPr>
            <w:tcW w:w="9029" w:type="dxa"/>
            <w:shd w:val="clear" w:color="auto" w:fill="auto"/>
            <w:tcMar>
              <w:top w:w="100" w:type="dxa"/>
              <w:left w:w="100" w:type="dxa"/>
              <w:bottom w:w="100" w:type="dxa"/>
              <w:right w:w="100" w:type="dxa"/>
            </w:tcMar>
          </w:tcPr>
          <w:p w14:paraId="31C7FFE1"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Hoofdstuk 6 behandelt eindtermen </w:t>
            </w:r>
            <w:r>
              <w:rPr>
                <w:rFonts w:ascii="Times New Roman" w:eastAsia="Times New Roman" w:hAnsi="Times New Roman" w:cs="Times New Roman"/>
                <w:b/>
                <w:sz w:val="24"/>
                <w:szCs w:val="24"/>
              </w:rPr>
              <w:t>5, 11, 15, 16, 19, 20 en bijlage 5</w:t>
            </w:r>
          </w:p>
          <w:p w14:paraId="60B02A4F"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6.1: 14.4, 15.2, 15.3</w:t>
            </w:r>
          </w:p>
          <w:p w14:paraId="61541527"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6.2: 5.2, 14.3, 15.1, bijlage 5</w:t>
            </w:r>
          </w:p>
          <w:p w14:paraId="71BC6E0E"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6.3: bijlage 5</w:t>
            </w:r>
          </w:p>
          <w:p w14:paraId="64D6F6B6"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Paragraaf 6.4: 15.1, 15.2 en bijlage 5 </w:t>
            </w:r>
          </w:p>
        </w:tc>
      </w:tr>
      <w:tr w:rsidR="0044144F" w14:paraId="18CFFF6E" w14:textId="77777777">
        <w:tc>
          <w:tcPr>
            <w:tcW w:w="9029" w:type="dxa"/>
            <w:shd w:val="clear" w:color="auto" w:fill="auto"/>
            <w:tcMar>
              <w:top w:w="100" w:type="dxa"/>
              <w:left w:w="100" w:type="dxa"/>
              <w:bottom w:w="100" w:type="dxa"/>
              <w:right w:w="100" w:type="dxa"/>
            </w:tcMar>
          </w:tcPr>
          <w:p w14:paraId="58FA63B5" w14:textId="77777777" w:rsidR="0044144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Leerdoelen Hoofdstuk 6</w:t>
            </w:r>
          </w:p>
        </w:tc>
      </w:tr>
      <w:tr w:rsidR="0044144F" w14:paraId="0A53C553" w14:textId="77777777">
        <w:tc>
          <w:tcPr>
            <w:tcW w:w="9029" w:type="dxa"/>
            <w:shd w:val="clear" w:color="auto" w:fill="auto"/>
            <w:tcMar>
              <w:top w:w="100" w:type="dxa"/>
              <w:left w:w="100" w:type="dxa"/>
              <w:bottom w:w="100" w:type="dxa"/>
              <w:right w:w="100" w:type="dxa"/>
            </w:tcMar>
          </w:tcPr>
          <w:p w14:paraId="7E86EF48"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6.1: Representatie en representativiteit</w:t>
            </w:r>
          </w:p>
          <w:p w14:paraId="19969292"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Ik kan een omschrijving geven van ‘polity’, ‘politics’ en ‘policy’ en kan deze onderscheiden, herkennen in en toepassen op een (zelfgekozen) bron.</w:t>
            </w:r>
          </w:p>
          <w:p w14:paraId="4081B6CB"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uitleggen hoe politieke socialisatie, politieke bindingen en een politiek cultuur bijdragen of afbreuk doen aan de stabiliteit van een politiek systeem. </w:t>
            </w:r>
          </w:p>
          <w:p w14:paraId="4B4E55B9"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uitleggen hoe het gebrek aan politieke binding kan leiden tot een ‘kloof tussen burger en politiek’ aan de hand van de drie probleemgebieden van Schuyt.  </w:t>
            </w:r>
          </w:p>
          <w:p w14:paraId="173B7B18"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onderbouwen waarom het vertrouwen in het politieke systeem en de democratische rechtsstaat van belang zijn voor de samenleving.</w:t>
            </w:r>
          </w:p>
          <w:p w14:paraId="5FEDF5DF"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definitie van het kernconcept ‘representatie’ geven, herkennen in en toepassen op een (zelfgekozen) bron.</w:t>
            </w:r>
          </w:p>
          <w:p w14:paraId="46FE6805"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definitie van het kernconcept ‘representativiteit’ geven, herkennen in en toepassen op een (zelfgekozen) bron.</w:t>
            </w:r>
          </w:p>
          <w:p w14:paraId="28E952E5"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kernconcepten ‘representatie’ en ‘representativiteit’ onderscheiden en herkennen in een (zelfgekozen) bron. </w:t>
            </w:r>
          </w:p>
          <w:p w14:paraId="1A1DF52F"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drie modellen van representatie omschrijven en deze onderscheiden, herkennen in en toepassen op een (zelfgekozen) bron.</w:t>
            </w:r>
          </w:p>
        </w:tc>
      </w:tr>
      <w:tr w:rsidR="0044144F" w14:paraId="7A226A0C" w14:textId="77777777">
        <w:tc>
          <w:tcPr>
            <w:tcW w:w="9029" w:type="dxa"/>
            <w:shd w:val="clear" w:color="auto" w:fill="auto"/>
            <w:tcMar>
              <w:top w:w="100" w:type="dxa"/>
              <w:left w:w="100" w:type="dxa"/>
              <w:bottom w:w="100" w:type="dxa"/>
              <w:right w:w="100" w:type="dxa"/>
            </w:tcMar>
          </w:tcPr>
          <w:p w14:paraId="4AC5ABF0"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Paragraaf 6.2: Politieke partijen</w:t>
            </w:r>
          </w:p>
          <w:p w14:paraId="1C61E52A"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Ik kan een omschrijving geven van de begrippen ‘politieke partij’ en ‘politieke stroming’ kan deze herkennen in en toepassen op een (zelfgekozen) bron. </w:t>
            </w:r>
          </w:p>
          <w:p w14:paraId="72A140F7"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vijf politieke stromingen omschrijven, onderscheiden, herkennen in en toepassen op een (zelfgekozen) bron). </w:t>
            </w:r>
          </w:p>
          <w:p w14:paraId="2F46333A"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verschillende Nederlandse politieke partijen met de belangrijkste standpunten noemen, plaatsen in de juiste politieke stroming en herkennen in een (zelfgekozen bron). </w:t>
            </w:r>
          </w:p>
          <w:p w14:paraId="3327F656"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vijf functies van politieke partijen noemen, omschrijven, onderscheiden, herkennen in en toepassen op een (zelfgekozen) bron. </w:t>
            </w:r>
          </w:p>
          <w:p w14:paraId="1F2218E9"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vier ontwikkelingen van politieke partijen noemen, omschrijven, onderscheiden, herkennen in en toepassen op een (zelfgekozen) bron. </w:t>
            </w:r>
          </w:p>
        </w:tc>
      </w:tr>
      <w:tr w:rsidR="0044144F" w14:paraId="7C1E7C7E" w14:textId="77777777">
        <w:tc>
          <w:tcPr>
            <w:tcW w:w="9029" w:type="dxa"/>
            <w:shd w:val="clear" w:color="auto" w:fill="auto"/>
            <w:tcMar>
              <w:top w:w="100" w:type="dxa"/>
              <w:left w:w="100" w:type="dxa"/>
              <w:bottom w:w="100" w:type="dxa"/>
              <w:right w:w="100" w:type="dxa"/>
            </w:tcMar>
          </w:tcPr>
          <w:p w14:paraId="154B5289"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6.3: Polity- beleid en machten</w:t>
            </w:r>
          </w:p>
          <w:p w14:paraId="05AA1522"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geven van het begrip ‘beleid’ en kan dit herkennen in en toepassen op een (zelfgekozen) bron. </w:t>
            </w:r>
          </w:p>
          <w:p w14:paraId="68F97824"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‘trias politica’ en kan deze onderscheiden, herkennen in en toepassen op een (zelfgekozen) bron.</w:t>
            </w:r>
          </w:p>
          <w:p w14:paraId="4582DF29"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vierde, vijfde en zesde macht en kan deze onderscheiden, herkennen in en toepassen op een (zelfgekozen) bron. </w:t>
            </w:r>
          </w:p>
          <w:p w14:paraId="48B7F8D1"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vier veranderingen in de rol van de media noemen, omschrijven, onderscheiden, herkennen in en toepassen op een (zelfgekozen) bron. </w:t>
            </w:r>
          </w:p>
          <w:p w14:paraId="54D14A5C"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begrippen ‘framing’ en ‘issue-ownership’ en kan deze onderscheiden, herkennen in en toepassen op een (zelfgekozen) bron.</w:t>
            </w:r>
          </w:p>
        </w:tc>
      </w:tr>
      <w:tr w:rsidR="0044144F" w14:paraId="7D088115" w14:textId="77777777">
        <w:tc>
          <w:tcPr>
            <w:tcW w:w="9029" w:type="dxa"/>
            <w:shd w:val="clear" w:color="auto" w:fill="auto"/>
            <w:tcMar>
              <w:top w:w="100" w:type="dxa"/>
              <w:left w:w="100" w:type="dxa"/>
              <w:bottom w:w="100" w:type="dxa"/>
              <w:right w:w="100" w:type="dxa"/>
            </w:tcMar>
          </w:tcPr>
          <w:p w14:paraId="389ADC25"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6.4: Besluitvormingsmodellen</w:t>
            </w:r>
          </w:p>
          <w:p w14:paraId="27FC4059"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‘systeemmodel’ en kan dit herkennen in en toepassen op een (zelfgekozen) bron. </w:t>
            </w:r>
          </w:p>
          <w:p w14:paraId="133D660F"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‘barrièremodel’ en kan deze herkennen in en toepassen op een (zelfgekozen) bron. </w:t>
            </w:r>
          </w:p>
          <w:p w14:paraId="35810B1E"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het ‘systeemmodel’ en het ‘barrièremodel’ onderscheiden door uit te leggen waar de nadruk van beide modellen op ligt. </w:t>
            </w:r>
          </w:p>
          <w:p w14:paraId="3294442F"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‘hindermacht’ en ‘realisatiemacht’ </w:t>
            </w:r>
            <w:r>
              <w:rPr>
                <w:rFonts w:ascii="Times New Roman" w:eastAsia="Times New Roman" w:hAnsi="Times New Roman" w:cs="Times New Roman"/>
                <w:sz w:val="24"/>
                <w:szCs w:val="24"/>
              </w:rPr>
              <w:lastRenderedPageBreak/>
              <w:t xml:space="preserve">kan deze herkennen in en toepassen op een (zelfgekozen) bron. </w:t>
            </w:r>
          </w:p>
        </w:tc>
      </w:tr>
    </w:tbl>
    <w:p w14:paraId="4A4D03CE" w14:textId="77777777" w:rsidR="0044144F" w:rsidRDefault="0044144F">
      <w:pPr>
        <w:rPr>
          <w:rFonts w:ascii="Times New Roman" w:eastAsia="Times New Roman" w:hAnsi="Times New Roman" w:cs="Times New Roman"/>
          <w:sz w:val="24"/>
          <w:szCs w:val="24"/>
        </w:rPr>
      </w:pPr>
    </w:p>
    <w:p w14:paraId="0797D560" w14:textId="77777777" w:rsidR="0044144F" w:rsidRDefault="0044144F">
      <w:pPr>
        <w:rPr>
          <w:rFonts w:ascii="Times New Roman" w:eastAsia="Times New Roman" w:hAnsi="Times New Roman" w:cs="Times New Roman"/>
          <w:sz w:val="24"/>
          <w:szCs w:val="24"/>
        </w:rPr>
      </w:pPr>
    </w:p>
    <w:p w14:paraId="66E167B0" w14:textId="77777777" w:rsidR="0044144F" w:rsidRDefault="0044144F">
      <w:pPr>
        <w:rPr>
          <w:rFonts w:ascii="Times New Roman" w:eastAsia="Times New Roman" w:hAnsi="Times New Roman" w:cs="Times New Roman"/>
          <w:sz w:val="24"/>
          <w:szCs w:val="24"/>
        </w:rPr>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4144F" w14:paraId="58A24163" w14:textId="77777777">
        <w:tc>
          <w:tcPr>
            <w:tcW w:w="9029" w:type="dxa"/>
            <w:shd w:val="clear" w:color="auto" w:fill="auto"/>
            <w:tcMar>
              <w:top w:w="100" w:type="dxa"/>
              <w:left w:w="100" w:type="dxa"/>
              <w:bottom w:w="100" w:type="dxa"/>
              <w:right w:w="100" w:type="dxa"/>
            </w:tcMar>
          </w:tcPr>
          <w:p w14:paraId="7053C465" w14:textId="77777777" w:rsidR="0044144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Hoofdstuk 7: Verhoudingsvraagstuk- Maatschappelijke verschillen</w:t>
            </w:r>
          </w:p>
        </w:tc>
      </w:tr>
      <w:tr w:rsidR="0044144F" w14:paraId="344B6C77" w14:textId="77777777">
        <w:tc>
          <w:tcPr>
            <w:tcW w:w="9029" w:type="dxa"/>
            <w:shd w:val="clear" w:color="auto" w:fill="auto"/>
            <w:tcMar>
              <w:top w:w="100" w:type="dxa"/>
              <w:left w:w="100" w:type="dxa"/>
              <w:bottom w:w="100" w:type="dxa"/>
              <w:right w:w="100" w:type="dxa"/>
            </w:tcMar>
          </w:tcPr>
          <w:p w14:paraId="63B365FA" w14:textId="77777777" w:rsidR="0044144F"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Hoofdstuk </w:t>
            </w:r>
            <w:r>
              <w:rPr>
                <w:rFonts w:ascii="Times New Roman" w:eastAsia="Times New Roman" w:hAnsi="Times New Roman" w:cs="Times New Roman"/>
                <w:sz w:val="24"/>
                <w:szCs w:val="24"/>
                <w:highlight w:val="yellow"/>
              </w:rPr>
              <w:t xml:space="preserve">7 behandelt geen eindtermen, maar behandelt subdomein C1 en F. De leerstof uit dit hoofdstuk zijn wel te herleiden tot enkele eindtermen: </w:t>
            </w:r>
          </w:p>
          <w:p w14:paraId="745C210D"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7.1: 4.1, 9.1, 11.1, 11.3, 21.3</w:t>
            </w:r>
          </w:p>
          <w:p w14:paraId="0D6CEBE2"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7.2: 9.1, 14.3, 16.2, 21.3</w:t>
            </w:r>
          </w:p>
          <w:p w14:paraId="26A1EFD4"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Paragraaf 7.3: 4.1, 4.2, 5.1, 11.3, 14.1, 14.2, 14.3, 21.3   </w:t>
            </w:r>
          </w:p>
          <w:p w14:paraId="2D7A70BB"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Paragraaf 7.4: 5.2, 21.3, </w:t>
            </w:r>
          </w:p>
          <w:p w14:paraId="4D43922B"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7.5: 12.4</w:t>
            </w:r>
          </w:p>
        </w:tc>
      </w:tr>
      <w:tr w:rsidR="0044144F" w14:paraId="528DC0F4" w14:textId="77777777">
        <w:tc>
          <w:tcPr>
            <w:tcW w:w="9029" w:type="dxa"/>
            <w:shd w:val="clear" w:color="auto" w:fill="auto"/>
            <w:tcMar>
              <w:top w:w="100" w:type="dxa"/>
              <w:left w:w="100" w:type="dxa"/>
              <w:bottom w:w="100" w:type="dxa"/>
              <w:right w:w="100" w:type="dxa"/>
            </w:tcMar>
          </w:tcPr>
          <w:p w14:paraId="4C8CD9D6" w14:textId="77777777" w:rsidR="0044144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Leerdoelen Hoofdstuk 7</w:t>
            </w:r>
          </w:p>
        </w:tc>
      </w:tr>
      <w:tr w:rsidR="0044144F" w14:paraId="7CCD553E" w14:textId="77777777">
        <w:tc>
          <w:tcPr>
            <w:tcW w:w="9029" w:type="dxa"/>
            <w:shd w:val="clear" w:color="auto" w:fill="auto"/>
            <w:tcMar>
              <w:top w:w="100" w:type="dxa"/>
              <w:left w:w="100" w:type="dxa"/>
              <w:bottom w:w="100" w:type="dxa"/>
              <w:right w:w="100" w:type="dxa"/>
            </w:tcMar>
          </w:tcPr>
          <w:p w14:paraId="23304528"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7.1: Sociale ongelijkheid en verhouding</w:t>
            </w:r>
          </w:p>
          <w:p w14:paraId="0DD9D452" w14:textId="77777777" w:rsidR="0044144F"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van het hoofdconcept ‘verhouding’ geven, herkennen in en toepassen op een (zelfgekozen) bron. </w:t>
            </w:r>
          </w:p>
          <w:p w14:paraId="78B2F785" w14:textId="77777777" w:rsidR="0044144F"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van het kernconcept ‘sociale ongelijkheid’ geven, herkennen in en toepassen op een (zelfgekozen) bron. </w:t>
            </w:r>
          </w:p>
          <w:p w14:paraId="04CEB031" w14:textId="77777777" w:rsidR="0044144F"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vier soorten sociale ongelijkheid en kan deze onderscheiden, herkennen in en toepassen op een (zelfgekozen) bron. </w:t>
            </w:r>
          </w:p>
          <w:p w14:paraId="0849F97B" w14:textId="77777777" w:rsidR="0044144F"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vier soorten sociale ongelijkheid met voorbeelden uit de Nederlandse context. </w:t>
            </w:r>
          </w:p>
          <w:p w14:paraId="18F4A792" w14:textId="77777777" w:rsidR="0044144F" w:rsidRDefault="00000000">
            <w:pPr>
              <w:widowControl w:val="0"/>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uitleggen hoe sociale ongelijkheid kan leiden tot conflict in de samenleving. </w:t>
            </w:r>
          </w:p>
        </w:tc>
      </w:tr>
      <w:tr w:rsidR="0044144F" w14:paraId="61C2DA4D" w14:textId="77777777">
        <w:tc>
          <w:tcPr>
            <w:tcW w:w="9029" w:type="dxa"/>
            <w:shd w:val="clear" w:color="auto" w:fill="auto"/>
            <w:tcMar>
              <w:top w:w="100" w:type="dxa"/>
              <w:left w:w="100" w:type="dxa"/>
              <w:bottom w:w="100" w:type="dxa"/>
              <w:right w:w="100" w:type="dxa"/>
            </w:tcMar>
          </w:tcPr>
          <w:p w14:paraId="6C4C171E" w14:textId="77777777" w:rsidR="0044144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Paragraaf 7.2: Sociale stratificatie, sociale mobiliteit en de onderklasse</w:t>
            </w:r>
          </w:p>
          <w:p w14:paraId="3E1FD3CF" w14:textId="77777777" w:rsidR="0044144F" w:rsidRDefault="0000000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‘maatschappelijke ladder’, ‘maatschappelijke positie’, ‘sociale laag’ en ‘sociale stratificatie’ en kan deze onderscheiden, herkennen in en toepassen op een (zelfgekozen) bron. </w:t>
            </w:r>
          </w:p>
          <w:p w14:paraId="660D740E" w14:textId="77777777" w:rsidR="0044144F" w:rsidRDefault="0000000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‘open samenleving’ en ‘gesloten samenleving’ en kan deze onderscheiden, herkennen in en toepassen op een (zelfgekozen) bron over sociale mobiliteit.  </w:t>
            </w:r>
          </w:p>
          <w:p w14:paraId="2D2A1E58" w14:textId="77777777" w:rsidR="0044144F" w:rsidRDefault="0000000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‘positietoewijzing’ en ‘positieverwerving’ en kan deze onderscheiden, herkennen in en toepassen op een (zelfgekozen) bron. </w:t>
            </w:r>
          </w:p>
          <w:p w14:paraId="43DAE6F7" w14:textId="77777777" w:rsidR="0044144F" w:rsidRDefault="0000000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begrippen ‘economische kapitaal’, ‘sociaal kapitaal’ en ‘cultuur kapitaal’ en kan deze onderscheiden, herkennen in en toepassen op een (zelfgekozen) bron over positieverwerving.</w:t>
            </w:r>
          </w:p>
          <w:p w14:paraId="3FDB7922" w14:textId="77777777" w:rsidR="0044144F" w:rsidRDefault="00000000">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begrip ‘sociale uitsluiting’ en kan hierbij de vier bestanddelen van sociale uitsluiting omschrijven, onderscheiden, herkennen in en toepassen op een (zelfgekozen) bron. </w:t>
            </w:r>
          </w:p>
        </w:tc>
      </w:tr>
      <w:tr w:rsidR="0044144F" w14:paraId="0A37519E" w14:textId="77777777">
        <w:tc>
          <w:tcPr>
            <w:tcW w:w="9029" w:type="dxa"/>
            <w:shd w:val="clear" w:color="auto" w:fill="auto"/>
            <w:tcMar>
              <w:top w:w="100" w:type="dxa"/>
              <w:left w:w="100" w:type="dxa"/>
              <w:bottom w:w="100" w:type="dxa"/>
              <w:right w:w="100" w:type="dxa"/>
            </w:tcMar>
          </w:tcPr>
          <w:p w14:paraId="0B3DAAB8"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7.3: Gevolgen van sociale ongelijkheid</w:t>
            </w:r>
          </w:p>
          <w:p w14:paraId="57CB1A27" w14:textId="77777777" w:rsidR="0044144F" w:rsidRDefault="00000000">
            <w:pPr>
              <w:widowControl w:val="0"/>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sociale ongelijkheid en kan dit toepassen op casussen uit het onderwijs, cultuur en vrije tijd, politieke participatie en gezondheid. </w:t>
            </w:r>
          </w:p>
          <w:p w14:paraId="25B724AF" w14:textId="77777777" w:rsidR="0044144F" w:rsidRDefault="00000000">
            <w:pPr>
              <w:widowControl w:val="0"/>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uitleggen hoe vormen van ongelijkheid op het gebied van gender, leeftijd, klasse, etniciteit en regio kunnen leiden tot maatschappelijke of politieke conflicten </w:t>
            </w:r>
            <w:r>
              <w:rPr>
                <w:rFonts w:ascii="Times New Roman" w:eastAsia="Times New Roman" w:hAnsi="Times New Roman" w:cs="Times New Roman"/>
                <w:sz w:val="24"/>
                <w:szCs w:val="24"/>
              </w:rPr>
              <w:lastRenderedPageBreak/>
              <w:t>en kan per vorm van sociale ongelijkheid een voorbeeld geven.</w:t>
            </w:r>
          </w:p>
          <w:p w14:paraId="7E07113B" w14:textId="77777777" w:rsidR="0044144F" w:rsidRDefault="00000000">
            <w:pPr>
              <w:widowControl w:val="0"/>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twee politieke modellen (conflictmodel en harmoniemodel) omschrijven, onderscheiden, herkennen in en toepassen op een (zelfgekozen) bron.</w:t>
            </w:r>
          </w:p>
          <w:p w14:paraId="702D0575" w14:textId="77777777" w:rsidR="0044144F" w:rsidRDefault="00000000">
            <w:pPr>
              <w:widowControl w:val="0"/>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vier gevolgen van maatschappelijke conflicten omschrijven, onderscheiden, herkennen in en toepassen op een (zelfgekozen) bron.</w:t>
            </w:r>
          </w:p>
        </w:tc>
      </w:tr>
      <w:tr w:rsidR="0044144F" w14:paraId="56CC0D38" w14:textId="77777777">
        <w:tc>
          <w:tcPr>
            <w:tcW w:w="9029" w:type="dxa"/>
            <w:shd w:val="clear" w:color="auto" w:fill="auto"/>
            <w:tcMar>
              <w:top w:w="100" w:type="dxa"/>
              <w:left w:w="100" w:type="dxa"/>
              <w:bottom w:w="100" w:type="dxa"/>
              <w:right w:w="100" w:type="dxa"/>
            </w:tcMar>
          </w:tcPr>
          <w:p w14:paraId="0742D479"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Paragraaf 7.4: Overheidsbeleid sociale ongelijkheid</w:t>
            </w:r>
          </w:p>
          <w:p w14:paraId="29DDD0AB" w14:textId="77777777" w:rsidR="0044144F" w:rsidRDefault="00000000">
            <w:pPr>
              <w:widowControl w:val="0"/>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uitgangspunten van de drie ideologieën met betrekking tot de rol van de overheid in de aanpak van sociale ongelijkheid omschrijven, onderscheiden, herkennen in en toepassen op een (zelfgekozen) bron. </w:t>
            </w:r>
          </w:p>
          <w:p w14:paraId="3D9AF821" w14:textId="77777777" w:rsidR="0044144F" w:rsidRDefault="00000000">
            <w:pPr>
              <w:widowControl w:val="0"/>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zes overheidsinstrumenten om sociale ongelijkheid te beïnvloeden omschrijven en kan deze onderscheiden, herkennen en toepassen op een (zelfgekozen) bron.</w:t>
            </w:r>
          </w:p>
          <w:p w14:paraId="7D2DD2D1" w14:textId="77777777" w:rsidR="0044144F" w:rsidRDefault="00000000">
            <w:pPr>
              <w:widowControl w:val="0"/>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‘nivelleren’, ‘denivelleren’ en ‘progressief belastingstelsel’ en kan deze onderscheiden, herkennen in en toepassen op een (zelfgekozen) bron. </w:t>
            </w:r>
          </w:p>
          <w:p w14:paraId="61FD8B0B" w14:textId="77777777" w:rsidR="0044144F" w:rsidRDefault="00000000">
            <w:pPr>
              <w:widowControl w:val="0"/>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zes effecten van het inzetten van overheidsinstrumenten om sociale ongelijkheid te beïnvloeden omschrijven en kan deze onderscheiden, herkennen en toepassen op een (zelfgekozen) bron.</w:t>
            </w:r>
          </w:p>
        </w:tc>
      </w:tr>
      <w:tr w:rsidR="0044144F" w14:paraId="5ECBDC20" w14:textId="77777777">
        <w:tc>
          <w:tcPr>
            <w:tcW w:w="9029" w:type="dxa"/>
            <w:shd w:val="clear" w:color="auto" w:fill="auto"/>
            <w:tcMar>
              <w:top w:w="100" w:type="dxa"/>
              <w:left w:w="100" w:type="dxa"/>
              <w:bottom w:w="100" w:type="dxa"/>
              <w:right w:w="100" w:type="dxa"/>
            </w:tcMar>
          </w:tcPr>
          <w:p w14:paraId="6D241095"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7.5: Ontwikkelingen 21e eeuw</w:t>
            </w:r>
          </w:p>
          <w:p w14:paraId="1B9D0BE8" w14:textId="77777777" w:rsidR="0044144F" w:rsidRDefault="00000000">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vijf ontwikkelingen van de 21e eeuw en kan uitleggen hoe deze leiden tot veranderende sociale verhoudingen. </w:t>
            </w:r>
          </w:p>
          <w:p w14:paraId="72DE8CC8" w14:textId="77777777" w:rsidR="0044144F" w:rsidRDefault="00000000">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begrip ‘Europeanisering’ en kan dit  herkennen in en toepassen op een (zelfgekozen) bron. </w:t>
            </w:r>
          </w:p>
        </w:tc>
      </w:tr>
    </w:tbl>
    <w:p w14:paraId="4DC8A10C" w14:textId="77777777" w:rsidR="0044144F" w:rsidRDefault="0044144F"/>
    <w:p w14:paraId="24D73901" w14:textId="77777777" w:rsidR="0044144F" w:rsidRDefault="0044144F">
      <w:pPr>
        <w:rPr>
          <w:rFonts w:ascii="Times New Roman" w:eastAsia="Times New Roman" w:hAnsi="Times New Roman" w:cs="Times New Roman"/>
          <w:sz w:val="24"/>
          <w:szCs w:val="24"/>
        </w:rPr>
      </w:pPr>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4144F" w14:paraId="33D3351A" w14:textId="77777777">
        <w:tc>
          <w:tcPr>
            <w:tcW w:w="9029" w:type="dxa"/>
            <w:shd w:val="clear" w:color="auto" w:fill="auto"/>
            <w:tcMar>
              <w:top w:w="100" w:type="dxa"/>
              <w:left w:w="100" w:type="dxa"/>
              <w:bottom w:w="100" w:type="dxa"/>
              <w:right w:w="100" w:type="dxa"/>
            </w:tcMar>
          </w:tcPr>
          <w:p w14:paraId="6FB2A790" w14:textId="77777777" w:rsidR="0044144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Hoofdstuk 8: Bindingsvraagstuk- Veiligheid</w:t>
            </w:r>
          </w:p>
        </w:tc>
      </w:tr>
      <w:tr w:rsidR="0044144F" w14:paraId="6F5B3AEC" w14:textId="77777777">
        <w:tc>
          <w:tcPr>
            <w:tcW w:w="9029" w:type="dxa"/>
            <w:shd w:val="clear" w:color="auto" w:fill="auto"/>
            <w:tcMar>
              <w:top w:w="100" w:type="dxa"/>
              <w:left w:w="100" w:type="dxa"/>
              <w:bottom w:w="100" w:type="dxa"/>
              <w:right w:w="100" w:type="dxa"/>
            </w:tcMar>
          </w:tcPr>
          <w:p w14:paraId="48A8EE9A" w14:textId="77777777" w:rsidR="0044144F" w:rsidRDefault="00000000">
            <w:pPr>
              <w:widowControl w:val="0"/>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Hoofdstuk </w:t>
            </w:r>
            <w:r>
              <w:rPr>
                <w:rFonts w:ascii="Times New Roman" w:eastAsia="Times New Roman" w:hAnsi="Times New Roman" w:cs="Times New Roman"/>
                <w:sz w:val="24"/>
                <w:szCs w:val="24"/>
                <w:highlight w:val="yellow"/>
              </w:rPr>
              <w:t xml:space="preserve">8 behandelt geen eindtermen, maar behandelt subdomein F. De leerstof uit dit hoofdstuk zijn wel te herleiden tot enkele eindtermen: </w:t>
            </w:r>
          </w:p>
          <w:p w14:paraId="13D660B7"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8.1: 11.1, 11.4, 12.2.2, 16.2, 16.3</w:t>
            </w:r>
          </w:p>
          <w:p w14:paraId="22490CFF"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8.2: 4.1, 11.1, 11.2, 16.2, 16.3</w:t>
            </w:r>
          </w:p>
          <w:p w14:paraId="6784552C"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8.3: 4.3, 9.1, 11.1</w:t>
            </w:r>
          </w:p>
          <w:p w14:paraId="5AC45E36"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8.4: 5.3, 11.1</w:t>
            </w:r>
          </w:p>
          <w:p w14:paraId="3A5F26AB"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Paragraaf 8.5: 9.1, 12.2, 12.4, 13.1, 13.2 </w:t>
            </w:r>
          </w:p>
        </w:tc>
      </w:tr>
      <w:tr w:rsidR="0044144F" w14:paraId="334EB20C" w14:textId="77777777">
        <w:tc>
          <w:tcPr>
            <w:tcW w:w="9029" w:type="dxa"/>
            <w:shd w:val="clear" w:color="auto" w:fill="auto"/>
            <w:tcMar>
              <w:top w:w="100" w:type="dxa"/>
              <w:left w:w="100" w:type="dxa"/>
              <w:bottom w:w="100" w:type="dxa"/>
              <w:right w:w="100" w:type="dxa"/>
            </w:tcMar>
          </w:tcPr>
          <w:p w14:paraId="19F0508B" w14:textId="77777777" w:rsidR="0044144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Leerdoelen Hoofdstuk 8</w:t>
            </w:r>
          </w:p>
        </w:tc>
      </w:tr>
      <w:tr w:rsidR="0044144F" w14:paraId="049ED0F4" w14:textId="77777777">
        <w:tc>
          <w:tcPr>
            <w:tcW w:w="9029" w:type="dxa"/>
            <w:shd w:val="clear" w:color="auto" w:fill="auto"/>
            <w:tcMar>
              <w:top w:w="100" w:type="dxa"/>
              <w:left w:w="100" w:type="dxa"/>
              <w:bottom w:w="100" w:type="dxa"/>
              <w:right w:w="100" w:type="dxa"/>
            </w:tcMar>
          </w:tcPr>
          <w:p w14:paraId="6D11501F"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8.1: Wat is veiligheid?</w:t>
            </w:r>
          </w:p>
          <w:p w14:paraId="4C3BA654" w14:textId="77777777" w:rsidR="0044144F" w:rsidRDefault="00000000">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‘risicomaatschappij’ en kan dit herkennen in en toepassen op een (zelfgekozen) bron.</w:t>
            </w:r>
          </w:p>
          <w:p w14:paraId="2768C21A" w14:textId="77777777" w:rsidR="0044144F" w:rsidRDefault="00000000">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‘risicomaatschappij’ en kan uitleggen hoe dit bijdraagt aan conflict en daling van gezag van de overheid. </w:t>
            </w:r>
          </w:p>
          <w:p w14:paraId="78EB3443" w14:textId="77777777" w:rsidR="0044144F" w:rsidRDefault="00000000">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hoe de overheid een rol speelt bij het bevorderen van veiligheid voor haar burgers. </w:t>
            </w:r>
          </w:p>
          <w:p w14:paraId="7240DFDA" w14:textId="77777777" w:rsidR="0044144F" w:rsidRDefault="00000000">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‘veiligheidsutopie’ en kan deze herkennen in en toepassen op een (zelfgekozen) bron. </w:t>
            </w:r>
          </w:p>
          <w:p w14:paraId="3DD8B597" w14:textId="77777777" w:rsidR="0044144F" w:rsidRDefault="00000000">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‘dilemma van de rechtsstaat’ en kan deze </w:t>
            </w:r>
            <w:r>
              <w:rPr>
                <w:rFonts w:ascii="Times New Roman" w:eastAsia="Times New Roman" w:hAnsi="Times New Roman" w:cs="Times New Roman"/>
                <w:sz w:val="24"/>
                <w:szCs w:val="24"/>
              </w:rPr>
              <w:lastRenderedPageBreak/>
              <w:t xml:space="preserve">herkennen in en toepassen op een (zelfgekozen) bron. </w:t>
            </w:r>
          </w:p>
          <w:p w14:paraId="3DBB4463" w14:textId="77777777" w:rsidR="0044144F" w:rsidRDefault="00000000">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‘subjectieve veiligheid’ en ‘objectieve veiligheid’ en kan deze onderscheiden, herkennen in en toepassen op een (zelfgekozen) bron. </w:t>
            </w:r>
          </w:p>
          <w:p w14:paraId="543B5E55" w14:textId="77777777" w:rsidR="0044144F" w:rsidRDefault="00000000">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hoe de media een rol speelt bij de beeldvorming van veiligheid en criminaliteit en kan hierbij gebruik maken van omschrijving en toepassing van de selectiviteitshypothese en de cultivatiehypothese. </w:t>
            </w:r>
          </w:p>
        </w:tc>
      </w:tr>
      <w:tr w:rsidR="0044144F" w14:paraId="5B0D118E" w14:textId="77777777">
        <w:tc>
          <w:tcPr>
            <w:tcW w:w="9029" w:type="dxa"/>
            <w:shd w:val="clear" w:color="auto" w:fill="auto"/>
            <w:tcMar>
              <w:top w:w="100" w:type="dxa"/>
              <w:left w:w="100" w:type="dxa"/>
              <w:bottom w:w="100" w:type="dxa"/>
              <w:right w:w="100" w:type="dxa"/>
            </w:tcMar>
          </w:tcPr>
          <w:p w14:paraId="5BC2CD99" w14:textId="77777777" w:rsidR="0044144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Paragraaf 8.2: Criminaliteit in Nederland en de VS</w:t>
            </w:r>
          </w:p>
          <w:p w14:paraId="5B563FD2" w14:textId="77777777" w:rsidR="0044144F" w:rsidRDefault="0000000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begrip ‘criminaliteit’ en kan dit herkennen in en toepassen op een (zelfgekozen) bron. </w:t>
            </w:r>
          </w:p>
          <w:p w14:paraId="16DB41F2" w14:textId="77777777" w:rsidR="0044144F" w:rsidRDefault="0000000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drie manieren van het meten van criminaliteit en kan deze onderscheiden, herkennen in en toepassen op een (zelfgekozen) bron. </w:t>
            </w:r>
          </w:p>
          <w:p w14:paraId="747D8E8B" w14:textId="77777777" w:rsidR="0044144F" w:rsidRDefault="0000000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per manier van het meten van criminaliteit één voordeel en één nadeel geven.  </w:t>
            </w:r>
          </w:p>
          <w:p w14:paraId="0FD25C17" w14:textId="77777777" w:rsidR="0044144F" w:rsidRDefault="0000000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vijf doelen van het bestraffen van criminaliteit en kan deze onderscheiden, herkennen in en toepassen op een (zelfgekozen) bron. </w:t>
            </w:r>
          </w:p>
          <w:p w14:paraId="14239FEC" w14:textId="77777777" w:rsidR="0044144F" w:rsidRDefault="0000000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‘klassieke school’ en de ‘moderne school’ en kan deze onderscheiden, herkennen en toepassen op een (zelfgekozen) bron.</w:t>
            </w:r>
          </w:p>
          <w:p w14:paraId="35BAD1BD" w14:textId="77777777" w:rsidR="0044144F" w:rsidRDefault="0000000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‘daadrecht’ en ‘daderrecht’ en kan deze onderscheiden, herkennen in en toepassen op een (zelfgekozen) bron. </w:t>
            </w:r>
          </w:p>
        </w:tc>
      </w:tr>
      <w:tr w:rsidR="0044144F" w14:paraId="21DEDC6D" w14:textId="77777777">
        <w:tc>
          <w:tcPr>
            <w:tcW w:w="9029" w:type="dxa"/>
            <w:shd w:val="clear" w:color="auto" w:fill="auto"/>
            <w:tcMar>
              <w:top w:w="100" w:type="dxa"/>
              <w:left w:w="100" w:type="dxa"/>
              <w:bottom w:w="100" w:type="dxa"/>
              <w:right w:w="100" w:type="dxa"/>
            </w:tcMar>
          </w:tcPr>
          <w:p w14:paraId="1F6762E2"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8.3: Oorzaken en gevolgen van criminaliteit</w:t>
            </w:r>
          </w:p>
          <w:p w14:paraId="5C4939F6" w14:textId="77777777" w:rsidR="0044144F" w:rsidRDefault="00000000">
            <w:pPr>
              <w:widowControl w:val="0"/>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zeven criminologische theorieën en kan deze onderscheiden, herkennen in en toepassen op een (zelfgekozen) bron. </w:t>
            </w:r>
          </w:p>
          <w:p w14:paraId="0041859C" w14:textId="77777777" w:rsidR="0044144F" w:rsidRDefault="00000000">
            <w:pPr>
              <w:widowControl w:val="0"/>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materiële gevolgen’ en ‘immateriële gevolgen’ van criminaliteit en kan deze onderscheiden, herkennen in en toepassen op een (zelfgekozen) bron. </w:t>
            </w:r>
          </w:p>
          <w:p w14:paraId="6CAF7315" w14:textId="77777777" w:rsidR="0044144F" w:rsidRDefault="00000000">
            <w:pPr>
              <w:widowControl w:val="0"/>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gevolgen van criminaliteit voor de slachtoffers, daders en de samenleving als geheel.  </w:t>
            </w:r>
          </w:p>
        </w:tc>
      </w:tr>
      <w:tr w:rsidR="0044144F" w14:paraId="1A38341E" w14:textId="77777777">
        <w:tc>
          <w:tcPr>
            <w:tcW w:w="9029" w:type="dxa"/>
            <w:shd w:val="clear" w:color="auto" w:fill="auto"/>
            <w:tcMar>
              <w:top w:w="100" w:type="dxa"/>
              <w:left w:w="100" w:type="dxa"/>
              <w:bottom w:w="100" w:type="dxa"/>
              <w:right w:w="100" w:type="dxa"/>
            </w:tcMar>
          </w:tcPr>
          <w:p w14:paraId="7DBB03C2"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8.4: Overheidsbeleid veiligheid</w:t>
            </w:r>
          </w:p>
          <w:p w14:paraId="0A8C123B" w14:textId="77777777" w:rsidR="0044144F" w:rsidRDefault="00000000">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het ‘tweesporenbeleid’ en kan deze</w:t>
            </w:r>
          </w:p>
          <w:p w14:paraId="3AA41283" w14:textId="77777777" w:rsidR="0044144F" w:rsidRDefault="00000000">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herkennen in en toepassen op een (zelfgekozen) bron. </w:t>
            </w:r>
          </w:p>
          <w:p w14:paraId="43670474" w14:textId="77777777" w:rsidR="0044144F" w:rsidRDefault="00000000">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uitgangspunten van de drie ideologieën met betrekking tot het handhaven van openbare orde en veiligheid omschrijven, onderscheiden, herkennen in en toepassen op een (zelfgekozen) bron. </w:t>
            </w:r>
          </w:p>
          <w:p w14:paraId="6222C050" w14:textId="77777777" w:rsidR="0044144F" w:rsidRDefault="00000000">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het begrip ‘principal-agent problem’ en kan deze herkennen in en toepassen op een (zelfgekozen) bron.</w:t>
            </w:r>
          </w:p>
          <w:p w14:paraId="6A38A5A9" w14:textId="77777777" w:rsidR="0044144F" w:rsidRDefault="00000000">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twee ontwikkelingen in het veiligheidsbeleid en kan deze onderscheiden, herkennen in en toepassen op een (zelfgekozen) bron. </w:t>
            </w:r>
            <w:r>
              <w:rPr>
                <w:rFonts w:ascii="Times New Roman" w:eastAsia="Times New Roman" w:hAnsi="Times New Roman" w:cs="Times New Roman"/>
                <w:sz w:val="24"/>
                <w:szCs w:val="24"/>
              </w:rPr>
              <w:tab/>
            </w:r>
          </w:p>
        </w:tc>
      </w:tr>
      <w:tr w:rsidR="0044144F" w14:paraId="3147A94D" w14:textId="77777777">
        <w:tc>
          <w:tcPr>
            <w:tcW w:w="9029" w:type="dxa"/>
            <w:shd w:val="clear" w:color="auto" w:fill="auto"/>
            <w:tcMar>
              <w:top w:w="100" w:type="dxa"/>
              <w:left w:w="100" w:type="dxa"/>
              <w:bottom w:w="100" w:type="dxa"/>
              <w:right w:w="100" w:type="dxa"/>
            </w:tcMar>
          </w:tcPr>
          <w:p w14:paraId="79340FB4"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8.5: Ontwikkelingen en invloed op veiligheid</w:t>
            </w:r>
          </w:p>
          <w:p w14:paraId="5D4B5E0E" w14:textId="77777777" w:rsidR="0044144F"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drie soorten bedreigingen voor de veiligheid van mensen en kan deze onderscheiden, herkennen in en toepassen op een (zelfgekozen) bron. </w:t>
            </w:r>
          </w:p>
          <w:p w14:paraId="2F642E0E" w14:textId="77777777" w:rsidR="0044144F"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uitleggen hoe maatschappelijke veranderingen invloed hebben criminaliteit en kan deze herkennen in en toepassen op een (zelfgekozen) bron.</w:t>
            </w:r>
          </w:p>
        </w:tc>
      </w:tr>
    </w:tbl>
    <w:p w14:paraId="2536BD20" w14:textId="77777777" w:rsidR="0044144F"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023969" w14:textId="77777777" w:rsidR="0044144F" w:rsidRDefault="0044144F">
      <w:pPr>
        <w:rPr>
          <w:rFonts w:ascii="Times New Roman" w:eastAsia="Times New Roman" w:hAnsi="Times New Roman" w:cs="Times New Roman"/>
          <w:sz w:val="24"/>
          <w:szCs w:val="24"/>
        </w:rPr>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4144F" w14:paraId="1E10C809" w14:textId="77777777">
        <w:tc>
          <w:tcPr>
            <w:tcW w:w="9029" w:type="dxa"/>
            <w:shd w:val="clear" w:color="auto" w:fill="auto"/>
            <w:tcMar>
              <w:top w:w="100" w:type="dxa"/>
              <w:left w:w="100" w:type="dxa"/>
              <w:bottom w:w="100" w:type="dxa"/>
              <w:right w:w="100" w:type="dxa"/>
            </w:tcMar>
          </w:tcPr>
          <w:p w14:paraId="3061413F" w14:textId="77777777" w:rsidR="0044144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Hoofdstuk 9: Paradigma’s</w:t>
            </w:r>
          </w:p>
        </w:tc>
      </w:tr>
      <w:tr w:rsidR="0044144F" w14:paraId="6E5BBBEB" w14:textId="77777777">
        <w:tc>
          <w:tcPr>
            <w:tcW w:w="9029" w:type="dxa"/>
            <w:shd w:val="clear" w:color="auto" w:fill="auto"/>
            <w:tcMar>
              <w:top w:w="100" w:type="dxa"/>
              <w:left w:w="100" w:type="dxa"/>
              <w:bottom w:w="100" w:type="dxa"/>
              <w:right w:w="100" w:type="dxa"/>
            </w:tcMar>
          </w:tcPr>
          <w:p w14:paraId="04D6B2F3" w14:textId="77777777" w:rsidR="0044144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Hoofdstuk 9 behandelt eindtermen: 2, 6 en 14</w:t>
            </w:r>
          </w:p>
          <w:p w14:paraId="3B9BD82A" w14:textId="77777777" w:rsidR="0044144F" w:rsidRDefault="00000000">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9.1: 2.5</w:t>
            </w:r>
          </w:p>
          <w:p w14:paraId="64C08C76" w14:textId="77777777" w:rsidR="0044144F" w:rsidRDefault="00000000">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9.2: 2.5</w:t>
            </w:r>
          </w:p>
          <w:p w14:paraId="49D97677" w14:textId="77777777" w:rsidR="0044144F" w:rsidRDefault="00000000">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9.3: 2.5</w:t>
            </w:r>
          </w:p>
          <w:p w14:paraId="36A286C7" w14:textId="77777777" w:rsidR="0044144F" w:rsidRDefault="00000000">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9.4: 2.5, 14.4</w:t>
            </w:r>
          </w:p>
          <w:p w14:paraId="14194814" w14:textId="77777777" w:rsidR="0044144F" w:rsidRDefault="00000000">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9.5: 2.5</w:t>
            </w:r>
          </w:p>
          <w:p w14:paraId="28EEDB31" w14:textId="77777777" w:rsidR="0044144F" w:rsidRDefault="00000000">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9.6: 2.5, 6</w:t>
            </w:r>
          </w:p>
        </w:tc>
      </w:tr>
      <w:tr w:rsidR="0044144F" w14:paraId="041FD29B" w14:textId="77777777">
        <w:tc>
          <w:tcPr>
            <w:tcW w:w="9029" w:type="dxa"/>
            <w:shd w:val="clear" w:color="auto" w:fill="auto"/>
            <w:tcMar>
              <w:top w:w="100" w:type="dxa"/>
              <w:left w:w="100" w:type="dxa"/>
              <w:bottom w:w="100" w:type="dxa"/>
              <w:right w:w="100" w:type="dxa"/>
            </w:tcMar>
          </w:tcPr>
          <w:p w14:paraId="50450D66" w14:textId="77777777" w:rsidR="0044144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Leerdoelen Hoofdstuk 9</w:t>
            </w:r>
          </w:p>
        </w:tc>
      </w:tr>
      <w:tr w:rsidR="0044144F" w14:paraId="0107A5E7" w14:textId="77777777">
        <w:tc>
          <w:tcPr>
            <w:tcW w:w="9029" w:type="dxa"/>
            <w:shd w:val="clear" w:color="auto" w:fill="auto"/>
            <w:tcMar>
              <w:top w:w="100" w:type="dxa"/>
              <w:left w:w="100" w:type="dxa"/>
              <w:bottom w:w="100" w:type="dxa"/>
              <w:right w:w="100" w:type="dxa"/>
            </w:tcMar>
          </w:tcPr>
          <w:p w14:paraId="53DF41E6"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9.1: Inleiding</w:t>
            </w:r>
          </w:p>
          <w:p w14:paraId="36EFFA3C" w14:textId="77777777" w:rsidR="0044144F" w:rsidRDefault="00000000">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het begrip ‘paradigma’ en kan dit herkennen in en toepassen op een (zelfgekozen) bron.</w:t>
            </w:r>
          </w:p>
          <w:p w14:paraId="2F5F95EE" w14:textId="77777777" w:rsidR="0044144F" w:rsidRDefault="00000000">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rol van een paradigma in sociaalwetenschappelijk onderzoek. </w:t>
            </w:r>
          </w:p>
        </w:tc>
      </w:tr>
      <w:tr w:rsidR="0044144F" w14:paraId="50253F31" w14:textId="77777777">
        <w:tc>
          <w:tcPr>
            <w:tcW w:w="9029" w:type="dxa"/>
            <w:shd w:val="clear" w:color="auto" w:fill="auto"/>
            <w:tcMar>
              <w:top w:w="100" w:type="dxa"/>
              <w:left w:w="100" w:type="dxa"/>
              <w:bottom w:w="100" w:type="dxa"/>
              <w:right w:w="100" w:type="dxa"/>
            </w:tcMar>
          </w:tcPr>
          <w:p w14:paraId="1D744B9D" w14:textId="77777777" w:rsidR="0044144F"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Paragraaf 9.2: Rationele-actor paradigma</w:t>
            </w:r>
          </w:p>
          <w:p w14:paraId="11857E76" w14:textId="77777777" w:rsidR="0044144F" w:rsidRDefault="0000000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‘rationele-actor paradigma’ en kan dit herkennen in en toepassen op een (zelfgekozen) bron. </w:t>
            </w:r>
          </w:p>
          <w:p w14:paraId="49512B3A" w14:textId="77777777" w:rsidR="0044144F" w:rsidRDefault="0000000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drie belangrijkste aannames van het rationele-actor paradigma noemen, omschrijven, herkennen in en toepassen op een (zelfgekozen) bron. </w:t>
            </w:r>
          </w:p>
          <w:p w14:paraId="49F434A9" w14:textId="77777777" w:rsidR="0044144F" w:rsidRDefault="0000000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historie van het rationele-actor paradigma en kan hierbij gebruik maken van een omschrijving van de denkbeelden van Adam Smith. </w:t>
            </w:r>
          </w:p>
          <w:p w14:paraId="38951ECC" w14:textId="77777777" w:rsidR="0044144F" w:rsidRDefault="0000000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voorbeeld geven van een theorie dat past binnen het rationele-actor paradigma. </w:t>
            </w:r>
          </w:p>
          <w:p w14:paraId="4BCB450F" w14:textId="77777777" w:rsidR="0044144F" w:rsidRDefault="00000000">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hoe het hoofdconcept ‘verandering’ kan worden onderzocht met behulp van het rationele-actor paradigma. </w:t>
            </w:r>
          </w:p>
        </w:tc>
      </w:tr>
      <w:tr w:rsidR="0044144F" w14:paraId="321EF106" w14:textId="77777777">
        <w:tc>
          <w:tcPr>
            <w:tcW w:w="9029" w:type="dxa"/>
            <w:shd w:val="clear" w:color="auto" w:fill="auto"/>
            <w:tcMar>
              <w:top w:w="100" w:type="dxa"/>
              <w:left w:w="100" w:type="dxa"/>
              <w:bottom w:w="100" w:type="dxa"/>
              <w:right w:w="100" w:type="dxa"/>
            </w:tcMar>
          </w:tcPr>
          <w:p w14:paraId="3FF62679"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9.3: Conflict-paradigma</w:t>
            </w:r>
          </w:p>
          <w:p w14:paraId="612ECA78" w14:textId="77777777" w:rsidR="0044144F" w:rsidRDefault="00000000">
            <w:pPr>
              <w:widowControl w:val="0"/>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‘conflict-paradigma’ en kan dit herkennen in en toepassen op een (zelfgekozen) bron. </w:t>
            </w:r>
          </w:p>
          <w:p w14:paraId="5B1A479E" w14:textId="77777777" w:rsidR="0044144F" w:rsidRDefault="00000000">
            <w:pPr>
              <w:widowControl w:val="0"/>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vier belangrijkste aannames van het conflict-paradigma noemen, omschrijven, herkennen in en toepassen op een (zelfgekozen) bron. </w:t>
            </w:r>
          </w:p>
          <w:p w14:paraId="1A3A5310" w14:textId="77777777" w:rsidR="0044144F" w:rsidRDefault="00000000">
            <w:pPr>
              <w:widowControl w:val="0"/>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historie van het conflict-paradigma en kan hierbij gebruik maken van een omschrijving van de denkbeelden van Karl Marx. </w:t>
            </w:r>
          </w:p>
          <w:p w14:paraId="4A915E69" w14:textId="77777777" w:rsidR="0044144F" w:rsidRDefault="00000000">
            <w:pPr>
              <w:widowControl w:val="0"/>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voorbeeld geven van een theorie dat past binnen het conflict-paradigma. </w:t>
            </w:r>
          </w:p>
          <w:p w14:paraId="45DFB491" w14:textId="77777777" w:rsidR="0044144F" w:rsidRDefault="00000000">
            <w:pPr>
              <w:widowControl w:val="0"/>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hoe de hoofdconcepten ‘verandering’ en ‘verhouding’ kunnen worden onderzocht met behulp van het conflict-paradigma. </w:t>
            </w:r>
          </w:p>
        </w:tc>
      </w:tr>
      <w:tr w:rsidR="0044144F" w14:paraId="190BBFED" w14:textId="77777777">
        <w:tc>
          <w:tcPr>
            <w:tcW w:w="9029" w:type="dxa"/>
            <w:shd w:val="clear" w:color="auto" w:fill="auto"/>
            <w:tcMar>
              <w:top w:w="100" w:type="dxa"/>
              <w:left w:w="100" w:type="dxa"/>
              <w:bottom w:w="100" w:type="dxa"/>
              <w:right w:w="100" w:type="dxa"/>
            </w:tcMar>
          </w:tcPr>
          <w:p w14:paraId="68113E8E"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9.4: Functionalisme-paradigma</w:t>
            </w:r>
          </w:p>
          <w:p w14:paraId="7899C372" w14:textId="77777777" w:rsidR="0044144F" w:rsidRDefault="00000000">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‘functionalisme-paradigma’ en kan dit herkennen in en toepassen op een (zelfgekozen) bron. </w:t>
            </w:r>
          </w:p>
          <w:p w14:paraId="3DEBE1E7" w14:textId="77777777" w:rsidR="0044144F" w:rsidRDefault="00000000">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vier belangrijkste aannames van het functionalisme-paradigma noemen, omschrijven, herkennen in en toepassen op een (zelfgekozen) bron. </w:t>
            </w:r>
          </w:p>
          <w:p w14:paraId="1D462D91" w14:textId="77777777" w:rsidR="0044144F" w:rsidRDefault="00000000">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historie van het functionalisme-paradigma en kan hierbij gebruik maken van een omschrijving van de denkbeelden van Emile Durkheim en Talcott Parsons. </w:t>
            </w:r>
          </w:p>
          <w:p w14:paraId="284ED491" w14:textId="77777777" w:rsidR="0044144F" w:rsidRDefault="00000000">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Ik kan een voorbeeld geven van een theorie dat past binnen het functionalisme-paradigma. </w:t>
            </w:r>
          </w:p>
          <w:p w14:paraId="733D7DB0" w14:textId="77777777" w:rsidR="0044144F" w:rsidRDefault="00000000">
            <w:pPr>
              <w:widowControl w:val="0"/>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hoe het hoofdconcept ‘binding’ kan worden onderzocht met behulp van het functionalisme-paradigma.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r>
      <w:tr w:rsidR="0044144F" w14:paraId="4F461CA6" w14:textId="77777777">
        <w:tc>
          <w:tcPr>
            <w:tcW w:w="9029" w:type="dxa"/>
            <w:shd w:val="clear" w:color="auto" w:fill="auto"/>
            <w:tcMar>
              <w:top w:w="100" w:type="dxa"/>
              <w:left w:w="100" w:type="dxa"/>
              <w:bottom w:w="100" w:type="dxa"/>
              <w:right w:w="100" w:type="dxa"/>
            </w:tcMar>
          </w:tcPr>
          <w:p w14:paraId="72CEABA7"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Paragraaf 9.5: Sociaalconstructivisme-paradigma</w:t>
            </w:r>
          </w:p>
          <w:p w14:paraId="7D9C2D96" w14:textId="77777777" w:rsidR="0044144F"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‘sociaalconstructivisme-paradigma’ en kan dit herkennen in en toepassen op een (zelfgekozen) bron. </w:t>
            </w:r>
          </w:p>
          <w:p w14:paraId="6B8DC083" w14:textId="77777777" w:rsidR="0044144F"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vier belangrijkste aannames van het sociaalconstructivisme-paradigma noemen, omschrijven, herkennen in en toepassen op een (zelfgekozen) bron. </w:t>
            </w:r>
          </w:p>
          <w:p w14:paraId="381F4685" w14:textId="77777777" w:rsidR="0044144F"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historie van het sociaalconstructivisme-paradigma en kan hierbij gebruik maken van een omschrijving van de denkbeelden vanuit de Thomas-theorema.  </w:t>
            </w:r>
          </w:p>
          <w:p w14:paraId="22E12992" w14:textId="77777777" w:rsidR="0044144F"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voorbeeld geven van een theorie dat past binnen het sociaalconstructivisme-paradigma. </w:t>
            </w:r>
          </w:p>
          <w:p w14:paraId="330483EE" w14:textId="77777777" w:rsidR="0044144F"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hoe het hoofdconcept ‘vorming’ kan worden onderzocht met behulp van het sociaalconstructivisme-paradigma. </w:t>
            </w:r>
            <w:r>
              <w:rPr>
                <w:rFonts w:ascii="Times New Roman" w:eastAsia="Times New Roman" w:hAnsi="Times New Roman" w:cs="Times New Roman"/>
                <w:sz w:val="24"/>
                <w:szCs w:val="24"/>
              </w:rPr>
              <w:tab/>
            </w:r>
          </w:p>
        </w:tc>
      </w:tr>
      <w:tr w:rsidR="0044144F" w14:paraId="6EE07932" w14:textId="77777777">
        <w:tc>
          <w:tcPr>
            <w:tcW w:w="9029" w:type="dxa"/>
            <w:shd w:val="clear" w:color="auto" w:fill="auto"/>
            <w:tcMar>
              <w:top w:w="100" w:type="dxa"/>
              <w:left w:w="100" w:type="dxa"/>
              <w:bottom w:w="100" w:type="dxa"/>
              <w:right w:w="100" w:type="dxa"/>
            </w:tcMar>
          </w:tcPr>
          <w:p w14:paraId="4FC5E851"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9.6: Weerbarstige werkelijkheid</w:t>
            </w:r>
          </w:p>
          <w:p w14:paraId="766E475C" w14:textId="77777777" w:rsidR="0044144F"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vier paradigma’s toepassen op het kernconcept ‘socialisatie’. </w:t>
            </w:r>
          </w:p>
          <w:p w14:paraId="7FB48FC0" w14:textId="77777777" w:rsidR="0044144F"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‘reproductietheorie’ van Bourdieu en kan dit herkennen in en toepassen op een (zelfgekozen) bron. </w:t>
            </w:r>
          </w:p>
          <w:p w14:paraId="4CFBB85A" w14:textId="77777777" w:rsidR="0044144F"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‘Theory of Planned Behavior’ en kan dit herkennen in en toepassen op een (zelfgekozen) bron. </w:t>
            </w:r>
          </w:p>
          <w:p w14:paraId="6FDC3B6B" w14:textId="77777777" w:rsidR="0044144F" w:rsidRDefault="00000000">
            <w:pPr>
              <w:widowControl w:val="0"/>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vier paradigma’s plaatsen op de ‘structuren-actoren’ as en de ‘consensus-conflict’ as  en kan dit uitleggen, herkennen in en toepassen op een (zelfgekozen) bron. </w:t>
            </w:r>
          </w:p>
        </w:tc>
      </w:tr>
    </w:tbl>
    <w:p w14:paraId="349660C9" w14:textId="77777777" w:rsidR="0044144F" w:rsidRDefault="0044144F">
      <w:pPr>
        <w:rPr>
          <w:rFonts w:ascii="Times New Roman" w:eastAsia="Times New Roman" w:hAnsi="Times New Roman" w:cs="Times New Roman"/>
          <w:sz w:val="24"/>
          <w:szCs w:val="24"/>
        </w:rPr>
      </w:pPr>
    </w:p>
    <w:p w14:paraId="080BCEF9" w14:textId="77777777" w:rsidR="0044144F" w:rsidRDefault="0044144F">
      <w:pPr>
        <w:rPr>
          <w:rFonts w:ascii="Times New Roman" w:eastAsia="Times New Roman" w:hAnsi="Times New Roman" w:cs="Times New Roman"/>
          <w:sz w:val="24"/>
          <w:szCs w:val="24"/>
        </w:rPr>
      </w:pP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4144F" w14:paraId="2211A40B" w14:textId="77777777">
        <w:tc>
          <w:tcPr>
            <w:tcW w:w="9029" w:type="dxa"/>
            <w:shd w:val="clear" w:color="auto" w:fill="auto"/>
            <w:tcMar>
              <w:top w:w="100" w:type="dxa"/>
              <w:left w:w="100" w:type="dxa"/>
              <w:bottom w:w="100" w:type="dxa"/>
              <w:right w:w="100" w:type="dxa"/>
            </w:tcMar>
          </w:tcPr>
          <w:p w14:paraId="480FD2AA" w14:textId="77777777" w:rsidR="0044144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Hoofdstuk 10: Natievorming</w:t>
            </w:r>
          </w:p>
        </w:tc>
      </w:tr>
      <w:tr w:rsidR="0044144F" w14:paraId="75102957" w14:textId="77777777">
        <w:tc>
          <w:tcPr>
            <w:tcW w:w="9029" w:type="dxa"/>
            <w:shd w:val="clear" w:color="auto" w:fill="auto"/>
            <w:tcMar>
              <w:top w:w="100" w:type="dxa"/>
              <w:left w:w="100" w:type="dxa"/>
              <w:bottom w:w="100" w:type="dxa"/>
              <w:right w:w="100" w:type="dxa"/>
            </w:tcMar>
          </w:tcPr>
          <w:p w14:paraId="19CEFD22"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Hoofdstuk 10 behandelt eindtermen </w:t>
            </w:r>
            <w:r>
              <w:rPr>
                <w:rFonts w:ascii="Times New Roman" w:eastAsia="Times New Roman" w:hAnsi="Times New Roman" w:cs="Times New Roman"/>
                <w:b/>
                <w:sz w:val="24"/>
                <w:szCs w:val="24"/>
              </w:rPr>
              <w:t>14, 16, 17 en 18</w:t>
            </w:r>
          </w:p>
          <w:p w14:paraId="34D1D19A"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10.1: 14.2</w:t>
            </w:r>
          </w:p>
          <w:p w14:paraId="7062C906"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10.2: 16.1, 16.2, 17.1 en 17.2</w:t>
            </w:r>
          </w:p>
          <w:p w14:paraId="18C6E158"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10.3: 16.3, 16.4, 17.3 en 17.4</w:t>
            </w:r>
          </w:p>
          <w:p w14:paraId="20BFB1AE"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Paragraaf 10.4: 17.4, 18.1, 18.2 en 18.3 </w:t>
            </w:r>
          </w:p>
        </w:tc>
      </w:tr>
      <w:tr w:rsidR="0044144F" w14:paraId="3BCA7C8A" w14:textId="77777777">
        <w:tc>
          <w:tcPr>
            <w:tcW w:w="9029" w:type="dxa"/>
            <w:shd w:val="clear" w:color="auto" w:fill="auto"/>
            <w:tcMar>
              <w:top w:w="100" w:type="dxa"/>
              <w:left w:w="100" w:type="dxa"/>
              <w:bottom w:w="100" w:type="dxa"/>
              <w:right w:w="100" w:type="dxa"/>
            </w:tcMar>
          </w:tcPr>
          <w:p w14:paraId="080ED33D" w14:textId="77777777" w:rsidR="0044144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Leerdoelen Hoofdstuk 10</w:t>
            </w:r>
          </w:p>
        </w:tc>
      </w:tr>
      <w:tr w:rsidR="0044144F" w14:paraId="41E7D1D7" w14:textId="77777777">
        <w:tc>
          <w:tcPr>
            <w:tcW w:w="9029" w:type="dxa"/>
            <w:shd w:val="clear" w:color="auto" w:fill="auto"/>
            <w:tcMar>
              <w:top w:w="100" w:type="dxa"/>
              <w:left w:w="100" w:type="dxa"/>
              <w:bottom w:w="100" w:type="dxa"/>
              <w:right w:w="100" w:type="dxa"/>
            </w:tcMar>
          </w:tcPr>
          <w:p w14:paraId="62188882"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10.1: Context- Dé Nederlandse identiteit</w:t>
            </w:r>
          </w:p>
          <w:p w14:paraId="6239BCEA"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begrip ‘collectieve identiteit’ en kan uitleggen hoe dit samenhangt met beelden en binding aan de hand van een (zelfgekozen) bron. </w:t>
            </w:r>
          </w:p>
          <w:p w14:paraId="5C11471B"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hoe het begrip ‘sociale binding’ wordt onderzocht vanuit de vier paradigma’s en kan dit zelf herkennen in en toepassen op een (zelfgekozen) bron. </w:t>
            </w:r>
          </w:p>
          <w:p w14:paraId="1DE1B871"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‘latent conflict’ en ‘manifest conflict’ en kan deze onderscheiden, herkennen in en toepassen op een (zelfgekozen) bron. </w:t>
            </w:r>
          </w:p>
          <w:p w14:paraId="776D9486"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begrip ‘multiple identity’ en kan dit </w:t>
            </w:r>
            <w:r>
              <w:rPr>
                <w:rFonts w:ascii="Times New Roman" w:eastAsia="Times New Roman" w:hAnsi="Times New Roman" w:cs="Times New Roman"/>
                <w:sz w:val="24"/>
                <w:szCs w:val="24"/>
              </w:rPr>
              <w:lastRenderedPageBreak/>
              <w:t>herkennen in en toepassen op een (zelfgekozen) bron.</w:t>
            </w:r>
          </w:p>
        </w:tc>
      </w:tr>
      <w:tr w:rsidR="0044144F" w14:paraId="23FEFDDB" w14:textId="77777777">
        <w:tc>
          <w:tcPr>
            <w:tcW w:w="9029" w:type="dxa"/>
            <w:shd w:val="clear" w:color="auto" w:fill="auto"/>
            <w:tcMar>
              <w:top w:w="100" w:type="dxa"/>
              <w:left w:w="100" w:type="dxa"/>
              <w:bottom w:w="100" w:type="dxa"/>
              <w:right w:w="100" w:type="dxa"/>
            </w:tcMar>
          </w:tcPr>
          <w:p w14:paraId="7569F401"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Paragraaf 10.2: Analyse- De politiek en de cultuur</w:t>
            </w:r>
          </w:p>
          <w:p w14:paraId="7CC2AE77"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hoe Nederlandse burgers politieke binding met elkaar hebben en kan hierbij minstens één voorbeeld geven. </w:t>
            </w:r>
          </w:p>
          <w:p w14:paraId="53ABFED8"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politieke binding tussen Nederlandse burgers herkennen in en toepassen op een (zelfgekozen) bron). </w:t>
            </w:r>
          </w:p>
          <w:p w14:paraId="085C88CD"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twee visies op het ontstaan van naties omschrijven, onderscheiden, herkennen in en toepassen op een (zelfgekozen) bron. </w:t>
            </w:r>
          </w:p>
          <w:p w14:paraId="60F8DC44"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visies van modernisten en essentialisten op staatsvorming en natievorming omschrijven, onderscheiden, herkennen in en toepassen op een (zelfgekozen) bron). </w:t>
            </w:r>
          </w:p>
          <w:p w14:paraId="4626F498"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het verschil tussen natiestaten en multinationale staten noemen, omschrijven, herkennen in en toepassen op een (zelfgekozen) bron. </w:t>
            </w:r>
          </w:p>
          <w:p w14:paraId="5F824787"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het debat over nationale cultuur en identiteit en kan de verschillende visies onderscheiden, herkennen in en toepassen op een (zelfgekozen) bron.</w:t>
            </w:r>
          </w:p>
        </w:tc>
      </w:tr>
      <w:tr w:rsidR="0044144F" w14:paraId="4EB3E414" w14:textId="77777777">
        <w:tc>
          <w:tcPr>
            <w:tcW w:w="9029" w:type="dxa"/>
            <w:shd w:val="clear" w:color="auto" w:fill="auto"/>
            <w:tcMar>
              <w:top w:w="100" w:type="dxa"/>
              <w:left w:w="100" w:type="dxa"/>
              <w:bottom w:w="100" w:type="dxa"/>
              <w:right w:w="100" w:type="dxa"/>
            </w:tcMar>
          </w:tcPr>
          <w:p w14:paraId="085D7F0C"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10.3: Ontwikkelingen nationale cultuur</w:t>
            </w:r>
          </w:p>
          <w:p w14:paraId="05DFA397"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vijf politieke ontwikkelingen en de twee gevolgen hiervan met betrekking tot nationale cultuur noemen, omschrijven, onderscheiden, herkennen in en toepassen op een (zelfgekozen) bron.</w:t>
            </w:r>
          </w:p>
          <w:p w14:paraId="6F937C1E"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vijf verklaringen met betrekking tot de minder sterke bindingen met de EU dan met natiestaten noemen, omschrijven, onderscheiden, herkennen in en toepassen op een (zelfgekozen) bron.</w:t>
            </w:r>
          </w:p>
          <w:p w14:paraId="080D87CF"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‘neo-nationalistisch cultureel verzet’ en kan dit herkennen in en toepassen op een (zelfgekozen) bron.</w:t>
            </w:r>
          </w:p>
          <w:p w14:paraId="0A1FBBE3"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omschrijven hoe de vijf sociale ontwikkelingen in Nederland invloed hebben op de nationale cultuur en kan dit herkennen in en toepassen op een (zelfgekozen) bron.</w:t>
            </w:r>
          </w:p>
          <w:p w14:paraId="7E77A2F7"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hoe Nederland zich heeft ontwikkeld tot een ‘multiculturele samenleving’ en kan hierbij een gevolg noemen voor de binding tussen mensen onderling. </w:t>
            </w:r>
          </w:p>
        </w:tc>
      </w:tr>
      <w:tr w:rsidR="0044144F" w14:paraId="1B89EF3C" w14:textId="77777777">
        <w:tc>
          <w:tcPr>
            <w:tcW w:w="9029" w:type="dxa"/>
            <w:shd w:val="clear" w:color="auto" w:fill="auto"/>
            <w:tcMar>
              <w:top w:w="100" w:type="dxa"/>
              <w:left w:w="100" w:type="dxa"/>
              <w:bottom w:w="100" w:type="dxa"/>
              <w:right w:w="100" w:type="dxa"/>
            </w:tcMar>
          </w:tcPr>
          <w:p w14:paraId="6641A0F7"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10.4: Politiek en overheidsbeleid over identiteit</w:t>
            </w:r>
          </w:p>
          <w:p w14:paraId="7EC90B6D"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twee oorzaken voor de toegenomen politieke aandacht voor (nationale) identiteit en kan deze onderscheiden, herkennen in en toepassen op een (zelfgekozen) bron. </w:t>
            </w:r>
          </w:p>
          <w:p w14:paraId="01C863CA"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‘het integratievraagstuk/identiteitsvraagstuk’ en het ‘samenlevingsprobleem’ en kan deze herkennen in en toepassen op een (zelfgekozen) bron. </w:t>
            </w:r>
          </w:p>
          <w:p w14:paraId="7FA8F45A"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twee visies op culturele identiteit en kan deze onderscheiden, herkennen in en toepassen op een (zelfgekozen) bron.</w:t>
            </w:r>
          </w:p>
          <w:p w14:paraId="0FB314D7"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drie vormen van identificatie en kan deze onderscheiden, herkennen in en toepassen op een (zelfgekozen) bron.</w:t>
            </w:r>
          </w:p>
          <w:p w14:paraId="64333520"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‘hybride identificatie’ en kan dit herkennen in en toepassen op een (zelfgekozen) bron. </w:t>
            </w:r>
          </w:p>
        </w:tc>
      </w:tr>
    </w:tbl>
    <w:p w14:paraId="15AB85C6" w14:textId="77777777" w:rsidR="0044144F" w:rsidRDefault="0044144F">
      <w:pPr>
        <w:rPr>
          <w:rFonts w:ascii="Times New Roman" w:eastAsia="Times New Roman" w:hAnsi="Times New Roman" w:cs="Times New Roman"/>
          <w:sz w:val="24"/>
          <w:szCs w:val="24"/>
        </w:rPr>
      </w:pPr>
    </w:p>
    <w:p w14:paraId="7037C083" w14:textId="77777777" w:rsidR="0044144F" w:rsidRDefault="0044144F">
      <w:pPr>
        <w:rPr>
          <w:rFonts w:ascii="Times New Roman" w:eastAsia="Times New Roman" w:hAnsi="Times New Roman" w:cs="Times New Roman"/>
          <w:sz w:val="24"/>
          <w:szCs w:val="24"/>
        </w:rPr>
      </w:pPr>
    </w:p>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4144F" w14:paraId="5185C519" w14:textId="77777777">
        <w:tc>
          <w:tcPr>
            <w:tcW w:w="9029" w:type="dxa"/>
            <w:shd w:val="clear" w:color="auto" w:fill="auto"/>
            <w:tcMar>
              <w:top w:w="100" w:type="dxa"/>
              <w:left w:w="100" w:type="dxa"/>
              <w:bottom w:w="100" w:type="dxa"/>
              <w:right w:w="100" w:type="dxa"/>
            </w:tcMar>
          </w:tcPr>
          <w:p w14:paraId="25E15BA6" w14:textId="77777777" w:rsidR="0044144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Hoofdstuk 11: Modernisering</w:t>
            </w:r>
          </w:p>
        </w:tc>
      </w:tr>
      <w:tr w:rsidR="0044144F" w14:paraId="5A2CE37B" w14:textId="77777777">
        <w:tc>
          <w:tcPr>
            <w:tcW w:w="9029" w:type="dxa"/>
            <w:shd w:val="clear" w:color="auto" w:fill="auto"/>
            <w:tcMar>
              <w:top w:w="100" w:type="dxa"/>
              <w:left w:w="100" w:type="dxa"/>
              <w:bottom w:w="100" w:type="dxa"/>
              <w:right w:w="100" w:type="dxa"/>
            </w:tcMar>
          </w:tcPr>
          <w:p w14:paraId="13E7291A"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Hoofdstuk 11 behandelt eindtermen </w:t>
            </w:r>
            <w:r>
              <w:rPr>
                <w:rFonts w:ascii="Times New Roman" w:eastAsia="Times New Roman" w:hAnsi="Times New Roman" w:cs="Times New Roman"/>
                <w:b/>
                <w:sz w:val="24"/>
                <w:szCs w:val="24"/>
              </w:rPr>
              <w:t>19, 21 en 22</w:t>
            </w:r>
          </w:p>
          <w:p w14:paraId="262075D5"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11.1: 19.1</w:t>
            </w:r>
          </w:p>
          <w:p w14:paraId="46552660"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11.2: 21.1</w:t>
            </w:r>
          </w:p>
          <w:p w14:paraId="4BADFAFB"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11.3: 21.2</w:t>
            </w:r>
          </w:p>
          <w:p w14:paraId="6C823B4F"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11.4: 21.3</w:t>
            </w:r>
          </w:p>
          <w:p w14:paraId="5B2A3484"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11.5: 21.4 en 22.2</w:t>
            </w:r>
          </w:p>
          <w:p w14:paraId="7D2D9EAA"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11.6: 21.5</w:t>
            </w:r>
          </w:p>
        </w:tc>
      </w:tr>
      <w:tr w:rsidR="0044144F" w14:paraId="69E6339F" w14:textId="77777777">
        <w:tc>
          <w:tcPr>
            <w:tcW w:w="9029" w:type="dxa"/>
            <w:shd w:val="clear" w:color="auto" w:fill="auto"/>
            <w:tcMar>
              <w:top w:w="100" w:type="dxa"/>
              <w:left w:w="100" w:type="dxa"/>
              <w:bottom w:w="100" w:type="dxa"/>
              <w:right w:w="100" w:type="dxa"/>
            </w:tcMar>
          </w:tcPr>
          <w:p w14:paraId="071FCC1D" w14:textId="77777777" w:rsidR="0044144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Leerdoelen Hoofdstuk 11</w:t>
            </w:r>
          </w:p>
        </w:tc>
      </w:tr>
      <w:tr w:rsidR="0044144F" w14:paraId="36EEB88E" w14:textId="77777777">
        <w:tc>
          <w:tcPr>
            <w:tcW w:w="9029" w:type="dxa"/>
            <w:shd w:val="clear" w:color="auto" w:fill="auto"/>
            <w:tcMar>
              <w:top w:w="100" w:type="dxa"/>
              <w:left w:w="100" w:type="dxa"/>
              <w:bottom w:w="100" w:type="dxa"/>
              <w:right w:w="100" w:type="dxa"/>
            </w:tcMar>
          </w:tcPr>
          <w:p w14:paraId="3F5758B7"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11.1: Context- Traditioneel of modern</w:t>
            </w:r>
          </w:p>
          <w:p w14:paraId="14F34B49"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van het begrip ‘modernisering’ geven, herkennen in en toepassen op een (zelfgekozen) bron. </w:t>
            </w:r>
          </w:p>
          <w:p w14:paraId="549BEB16"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definitie van het kernconcept ‘rationalisering’ geven, herkennen in en toepassen op bronnen over de geschiedenis, economie, sociale processen, wetenschap en kunst en politiek en bestuur. </w:t>
            </w:r>
          </w:p>
          <w:p w14:paraId="7C969457"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‘onttovering van de wereld’ en kan dit herkennen in en toepassen op een (zelfgekozen) bron. </w:t>
            </w:r>
          </w:p>
          <w:p w14:paraId="37C5B648"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analyse maken van het kernconcept ‘rationalisering’ met behulp van de vier paradigma’s. </w:t>
            </w:r>
          </w:p>
        </w:tc>
      </w:tr>
      <w:tr w:rsidR="0044144F" w14:paraId="26932C7B" w14:textId="77777777">
        <w:tc>
          <w:tcPr>
            <w:tcW w:w="9029" w:type="dxa"/>
            <w:shd w:val="clear" w:color="auto" w:fill="auto"/>
            <w:tcMar>
              <w:top w:w="100" w:type="dxa"/>
              <w:left w:w="100" w:type="dxa"/>
              <w:bottom w:w="100" w:type="dxa"/>
              <w:right w:w="100" w:type="dxa"/>
            </w:tcMar>
          </w:tcPr>
          <w:p w14:paraId="7F2AF59A"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11.2: Analyse- Wording van de moderne samenleving</w:t>
            </w:r>
          </w:p>
          <w:p w14:paraId="2E1D02DE"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van het begrip ‘modernisering’ geven, herkennen in en toepassen op een (zelfgekozen) bron. </w:t>
            </w:r>
          </w:p>
          <w:p w14:paraId="2A03C41C"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algemene kenmerken van de moderne samenleving noemen, omschrijven en herkennen in en toepassen op een (zelfgekozen) bron.</w:t>
            </w:r>
          </w:p>
          <w:p w14:paraId="6D872842"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politieke, economische, demografische en sociaal culturele kenmerken van de moderne samenleving noemen, omschrijven en herkennen in en toepassen op een (zelfgekozen) bron.</w:t>
            </w:r>
          </w:p>
          <w:p w14:paraId="75204DC1"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omschrijven en verklaren waarom het begrip ‘modernisering’ een omstreden begrip is.</w:t>
            </w:r>
          </w:p>
          <w:p w14:paraId="7353E6F6"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van een ‘moderniseringstheorie’ en kan dit herkennen in en toepassen op een (zelfgekozen) bron. </w:t>
            </w:r>
          </w:p>
          <w:p w14:paraId="74D06353"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van ‘varianten van modernisering’ en kan dit herkennen in en toepassen op een (zelfgekozen) bron. </w:t>
            </w:r>
          </w:p>
          <w:p w14:paraId="797F6002"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van het ‘postmodernisme’ en kan dit herkennen in en toepassen op een (zelfgekozen) bron. </w:t>
            </w:r>
          </w:p>
        </w:tc>
      </w:tr>
      <w:tr w:rsidR="0044144F" w14:paraId="3C97018C" w14:textId="77777777">
        <w:tc>
          <w:tcPr>
            <w:tcW w:w="9029" w:type="dxa"/>
            <w:shd w:val="clear" w:color="auto" w:fill="auto"/>
            <w:tcMar>
              <w:top w:w="100" w:type="dxa"/>
              <w:left w:w="100" w:type="dxa"/>
              <w:bottom w:w="100" w:type="dxa"/>
              <w:right w:w="100" w:type="dxa"/>
            </w:tcMar>
          </w:tcPr>
          <w:p w14:paraId="771E38FB"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11.3: Verandering in het vormingsvraagstuk</w:t>
            </w:r>
          </w:p>
          <w:p w14:paraId="5D7CEE44"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vier veranderingen in het vormingsvraagstuk als gevolg van modernisering. </w:t>
            </w:r>
          </w:p>
          <w:p w14:paraId="1CCD94ED"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van de begrippen ‘civilisatieproces’, ‘bricolage’, ‘pluralisme in levensstijlen’ en ‘informalisering’ en kan deze herkennen in en toepassen op een (zelfgekozen) bron. </w:t>
            </w:r>
          </w:p>
          <w:p w14:paraId="15D702FF"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‘anonieme sociale controlemechanismen’ en kan een gevolg hiervan noemen, omschrijven, herkennen in en toepassen op een (zelfgekozen) bron. </w:t>
            </w:r>
          </w:p>
          <w:p w14:paraId="749A9B45"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van het begrip ‘doelrationeel handelen’ en en kan een </w:t>
            </w:r>
            <w:r>
              <w:rPr>
                <w:rFonts w:ascii="Times New Roman" w:eastAsia="Times New Roman" w:hAnsi="Times New Roman" w:cs="Times New Roman"/>
                <w:sz w:val="24"/>
                <w:szCs w:val="24"/>
              </w:rPr>
              <w:lastRenderedPageBreak/>
              <w:t>gevolg hiervan noemen, omschrijven, herkennen in en toepassen op een (zelfgekozen) bron.</w:t>
            </w:r>
          </w:p>
          <w:p w14:paraId="6A438D77" w14:textId="77777777" w:rsidR="0044144F" w:rsidRDefault="00000000">
            <w:pPr>
              <w:widowControl w:val="0"/>
              <w:numPr>
                <w:ilvl w:val="0"/>
                <w:numId w:val="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vier kanttekeningen bij de vorming van identiteit in de moderne samenleving noemen, omschrijven, onderscheiden, herkennen in en toepassen op een (zelfgekozen) bron. </w:t>
            </w:r>
          </w:p>
        </w:tc>
      </w:tr>
      <w:tr w:rsidR="0044144F" w14:paraId="7FC06EBC" w14:textId="77777777">
        <w:tc>
          <w:tcPr>
            <w:tcW w:w="9029" w:type="dxa"/>
            <w:shd w:val="clear" w:color="auto" w:fill="auto"/>
            <w:tcMar>
              <w:top w:w="100" w:type="dxa"/>
              <w:left w:w="100" w:type="dxa"/>
              <w:bottom w:w="100" w:type="dxa"/>
              <w:right w:w="100" w:type="dxa"/>
            </w:tcMar>
          </w:tcPr>
          <w:p w14:paraId="0823203E"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Paragraaf 11.4: Verandering in het verhoudingsvraagstuk</w:t>
            </w:r>
          </w:p>
          <w:p w14:paraId="4698AFD5"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van het begrip ‘informalisering’ en en kan een gevolg hiervan noemen, omschrijven, herkennen in en toepassen op een (zelfgekozen) bron.</w:t>
            </w:r>
          </w:p>
          <w:p w14:paraId="6A9E58E4"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geschiedenis van sociale ongelijkheid omschrijven aan de hand van een omschrijving van de begrippen ‘rigide sociale stratificatie’, ‘standensamenleving’, ‘klassensamenleving’, ‘arbeidsdeling’ en ‘economisch kapitaal’. </w:t>
            </w:r>
          </w:p>
          <w:p w14:paraId="57C50CDA"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afname van sociale ongelijkheid omschrijven aan de hand van een omschrijving van de begrippen ‘overlegeconomie’, ‘cultureel kapitaal’ en ‘meritocratie’. </w:t>
            </w:r>
          </w:p>
          <w:p w14:paraId="3D8AE1DC"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toename van sociale ongelijkheid omschrijven aan de hand van een omschrijving van de begrippen ‘overlegeconomie’, ‘cultureel kapitaal’ en ‘meritocratie’. </w:t>
            </w:r>
          </w:p>
          <w:p w14:paraId="14078686"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vier aspecten bij het ontstaan van de individualistische prestatiesamenleving noemen, omschrijven, onderscheiden, herkennen in en toepassen op een (zelfgekozen) bron. </w:t>
            </w:r>
          </w:p>
        </w:tc>
      </w:tr>
      <w:tr w:rsidR="0044144F" w14:paraId="36019A3B" w14:textId="77777777">
        <w:tc>
          <w:tcPr>
            <w:tcW w:w="9029" w:type="dxa"/>
            <w:shd w:val="clear" w:color="auto" w:fill="auto"/>
            <w:tcMar>
              <w:top w:w="100" w:type="dxa"/>
              <w:left w:w="100" w:type="dxa"/>
              <w:bottom w:w="100" w:type="dxa"/>
              <w:right w:w="100" w:type="dxa"/>
            </w:tcMar>
          </w:tcPr>
          <w:p w14:paraId="14651B02"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11.5: Verandering in het bindingsvraagstuk</w:t>
            </w:r>
          </w:p>
          <w:p w14:paraId="05C9E72F"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hoe sociale integratie is toegenomen op het gebied van rechten, onderwijs, arbeid en in overleg door integratiemechanismen in overheidsbeleid. </w:t>
            </w:r>
          </w:p>
          <w:p w14:paraId="2DB6A62E"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omschrijven waarom sociale bindingen minder zijn geworden door veranderende bindingen  in het verenigingsleven, religie en sociale netwerken en kan deze onderscheiden, herkennen in en toepassen op een (zelfgekozen) bron. </w:t>
            </w:r>
          </w:p>
          <w:p w14:paraId="5311FDB7"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vier kanttekeningen bij de sociale cohesie in een moderne samenleving noemen, omschrijven, onderscheiden, herkennen in en toepassen op een (zelfgekozen) bron. </w:t>
            </w:r>
          </w:p>
          <w:p w14:paraId="743F2880"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visies van de drie ideologieën op ‘individualisering’ en kan deze onderscheiden, herkennen in en toepassen op een (zelfgekozen) bron. </w:t>
            </w:r>
          </w:p>
        </w:tc>
      </w:tr>
      <w:tr w:rsidR="0044144F" w14:paraId="4A4DCA1B" w14:textId="77777777">
        <w:tc>
          <w:tcPr>
            <w:tcW w:w="9029" w:type="dxa"/>
            <w:shd w:val="clear" w:color="auto" w:fill="auto"/>
            <w:tcMar>
              <w:top w:w="100" w:type="dxa"/>
              <w:left w:w="100" w:type="dxa"/>
              <w:bottom w:w="100" w:type="dxa"/>
              <w:right w:w="100" w:type="dxa"/>
            </w:tcMar>
          </w:tcPr>
          <w:p w14:paraId="76869A47"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11.6: Paradoxen in de moderne samenleving</w:t>
            </w:r>
          </w:p>
          <w:p w14:paraId="24D9959F"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drie paradoxen in de moderne samenleving noemen, omschrijven, onderscheiden, herkennen in en toepassen op een (zelfgekozen) bron. </w:t>
            </w:r>
          </w:p>
        </w:tc>
      </w:tr>
    </w:tbl>
    <w:p w14:paraId="254F4361" w14:textId="77777777" w:rsidR="0044144F" w:rsidRDefault="0044144F">
      <w:pPr>
        <w:rPr>
          <w:rFonts w:ascii="Times New Roman" w:eastAsia="Times New Roman" w:hAnsi="Times New Roman" w:cs="Times New Roman"/>
          <w:sz w:val="24"/>
          <w:szCs w:val="24"/>
        </w:rPr>
      </w:pPr>
    </w:p>
    <w:p w14:paraId="6CD8A458" w14:textId="77777777" w:rsidR="0044144F" w:rsidRDefault="0044144F">
      <w:pPr>
        <w:rPr>
          <w:rFonts w:ascii="Times New Roman" w:eastAsia="Times New Roman" w:hAnsi="Times New Roman" w:cs="Times New Roman"/>
          <w:sz w:val="24"/>
          <w:szCs w:val="24"/>
        </w:rPr>
      </w:pPr>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4144F" w14:paraId="1A87764A" w14:textId="77777777">
        <w:tc>
          <w:tcPr>
            <w:tcW w:w="9029" w:type="dxa"/>
            <w:shd w:val="clear" w:color="auto" w:fill="auto"/>
            <w:tcMar>
              <w:top w:w="100" w:type="dxa"/>
              <w:left w:w="100" w:type="dxa"/>
              <w:bottom w:w="100" w:type="dxa"/>
              <w:right w:w="100" w:type="dxa"/>
            </w:tcMar>
          </w:tcPr>
          <w:p w14:paraId="4E25C871" w14:textId="77777777" w:rsidR="0044144F"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Hoofdstuk 12: Machtsverhoudingen in de wereld</w:t>
            </w:r>
          </w:p>
        </w:tc>
      </w:tr>
      <w:tr w:rsidR="0044144F" w14:paraId="654B6E92" w14:textId="77777777">
        <w:tc>
          <w:tcPr>
            <w:tcW w:w="9029" w:type="dxa"/>
            <w:shd w:val="clear" w:color="auto" w:fill="auto"/>
            <w:tcMar>
              <w:top w:w="100" w:type="dxa"/>
              <w:left w:w="100" w:type="dxa"/>
              <w:bottom w:w="100" w:type="dxa"/>
              <w:right w:w="100" w:type="dxa"/>
            </w:tcMar>
          </w:tcPr>
          <w:p w14:paraId="59D1A330"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Hoofdstuk 12 behandelt eindtermen: 9, 10, 11, 12, 13, 20 en 22</w:t>
            </w:r>
          </w:p>
          <w:p w14:paraId="5A6E4C04" w14:textId="77777777" w:rsidR="0044144F" w:rsidRDefault="00000000">
            <w:pPr>
              <w:widowControl w:v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12.1: 12.5, 13.2 en 13.3</w:t>
            </w:r>
          </w:p>
          <w:p w14:paraId="54671EA7"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12.2: 13.1 en 13.2</w:t>
            </w:r>
          </w:p>
          <w:p w14:paraId="130FC769"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12.3: 9.1, 9.2 en 11.4</w:t>
            </w:r>
          </w:p>
          <w:p w14:paraId="5F61B958"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Paragraaf 12.4: 10.2, 11.1, 11.2 en 20.3</w:t>
            </w:r>
          </w:p>
          <w:p w14:paraId="431059A2" w14:textId="77777777" w:rsidR="0044144F" w:rsidRDefault="00000000">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Paragraaf 12.5: 12.2.1,</w:t>
            </w:r>
            <w:r>
              <w:rPr>
                <w:rFonts w:ascii="Times New Roman" w:eastAsia="Times New Roman" w:hAnsi="Times New Roman" w:cs="Times New Roman"/>
                <w:sz w:val="24"/>
                <w:szCs w:val="24"/>
                <w:highlight w:val="yellow"/>
              </w:rPr>
              <w:t xml:space="preserve"> 12.2.2</w:t>
            </w:r>
            <w:r>
              <w:rPr>
                <w:rFonts w:ascii="Times New Roman" w:eastAsia="Times New Roman" w:hAnsi="Times New Roman" w:cs="Times New Roman"/>
                <w:sz w:val="24"/>
                <w:szCs w:val="24"/>
              </w:rPr>
              <w:t xml:space="preserve"> 12.2.3, 12.3, 12.4, 12.6 en 22.1</w:t>
            </w:r>
          </w:p>
        </w:tc>
      </w:tr>
      <w:tr w:rsidR="0044144F" w14:paraId="6BE5563B" w14:textId="77777777">
        <w:tc>
          <w:tcPr>
            <w:tcW w:w="9029" w:type="dxa"/>
            <w:shd w:val="clear" w:color="auto" w:fill="auto"/>
            <w:tcMar>
              <w:top w:w="100" w:type="dxa"/>
              <w:left w:w="100" w:type="dxa"/>
              <w:bottom w:w="100" w:type="dxa"/>
              <w:right w:w="100" w:type="dxa"/>
            </w:tcMar>
          </w:tcPr>
          <w:p w14:paraId="19DDC543" w14:textId="77777777" w:rsidR="0044144F"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Leerdoelen Hoofdstuk 12</w:t>
            </w:r>
          </w:p>
        </w:tc>
      </w:tr>
      <w:tr w:rsidR="0044144F" w14:paraId="280845D9" w14:textId="77777777">
        <w:tc>
          <w:tcPr>
            <w:tcW w:w="9029" w:type="dxa"/>
            <w:shd w:val="clear" w:color="auto" w:fill="auto"/>
            <w:tcMar>
              <w:top w:w="100" w:type="dxa"/>
              <w:left w:w="100" w:type="dxa"/>
              <w:bottom w:w="100" w:type="dxa"/>
              <w:right w:w="100" w:type="dxa"/>
            </w:tcMar>
          </w:tcPr>
          <w:p w14:paraId="582A0CCB"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12.1: Nederlands buitenlandbeleid</w:t>
            </w:r>
          </w:p>
          <w:p w14:paraId="6039AF38"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het Nederlands buitenlandbeleid aan de hand van een omschrijving van ‘de dominee en de koopman’ en kan dit herkennen in en toepassen op een (zelfgekozen) bron. </w:t>
            </w:r>
          </w:p>
          <w:p w14:paraId="2003F1A1"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artikel 90 van de Nederlandse Grondwet en kan dit herkennen in en toepassen op een (zelfgekozen) bron. </w:t>
            </w:r>
          </w:p>
          <w:p w14:paraId="525971BF"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bekritiseerde oriëntatie van Nederland op het buitenland aan de hand van een omschrijving van de begrippen ‘Atlantisch’, ‘Europees’ en ‘multilateraal’.</w:t>
            </w:r>
          </w:p>
          <w:p w14:paraId="4C6D986F"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twee manieren om interstatelijke conflicten te voorkomen noemen, omschrijven, onderscheiden, herkennen in en toepassen op een (zelfgekozen) bron. </w:t>
            </w:r>
          </w:p>
          <w:p w14:paraId="237DB151" w14:textId="77777777" w:rsidR="0044144F" w:rsidRDefault="00000000">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drie manieren waarop de soevereiniteit van staten wordt beperkt  noemen, omschrijven, onderscheiden, herkennen in en toepassen op een (zelfgekozen) bron. </w:t>
            </w:r>
          </w:p>
        </w:tc>
      </w:tr>
      <w:tr w:rsidR="0044144F" w14:paraId="6AEC6685" w14:textId="77777777">
        <w:tc>
          <w:tcPr>
            <w:tcW w:w="9029" w:type="dxa"/>
            <w:shd w:val="clear" w:color="auto" w:fill="auto"/>
            <w:tcMar>
              <w:top w:w="100" w:type="dxa"/>
              <w:left w:w="100" w:type="dxa"/>
              <w:bottom w:w="100" w:type="dxa"/>
              <w:right w:w="100" w:type="dxa"/>
            </w:tcMar>
          </w:tcPr>
          <w:p w14:paraId="606C4C01"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12.2: Politiek, beleid en instituties</w:t>
            </w:r>
          </w:p>
          <w:p w14:paraId="35ACA8B7"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vijf verschillende soorten van samenwerking noemen, omschrijven, onderscheiden, herkennen in en toepassen op een (zelfgekozen) bron. </w:t>
            </w:r>
          </w:p>
          <w:p w14:paraId="3BD152F7"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drie vormen van besluitvorming noemen, omschrijven, onderscheiden, herkennen in en toepassen op een (zelfgekozen) bron. </w:t>
            </w:r>
          </w:p>
          <w:p w14:paraId="6868A971"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belangrijkste kenmerken van de VN, de NAVO en de EU en de kritiekpunten kan deze onderscheiden, herkennen in, en toepassen op een (zelfgekozen) bron. </w:t>
            </w:r>
          </w:p>
          <w:p w14:paraId="12393A7B"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minstens één kritiekpunt van de VN, de NAVO en de EU noemen, omschrijven, herkennen in, en toepassen op een (zelfgekozen) bron. </w:t>
            </w:r>
          </w:p>
          <w:p w14:paraId="38853FC6" w14:textId="77777777" w:rsidR="0044144F" w:rsidRDefault="00000000">
            <w:pPr>
              <w:widowControl w:val="0"/>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belangrijkste instellingen van de EU en kan deze onderscheiden, herkennen in, en toepassen op een (zelfgekozen) bron. </w:t>
            </w:r>
          </w:p>
        </w:tc>
      </w:tr>
      <w:tr w:rsidR="0044144F" w14:paraId="2FF3CEDA" w14:textId="77777777">
        <w:tc>
          <w:tcPr>
            <w:tcW w:w="9029" w:type="dxa"/>
            <w:shd w:val="clear" w:color="auto" w:fill="auto"/>
            <w:tcMar>
              <w:top w:w="100" w:type="dxa"/>
              <w:left w:w="100" w:type="dxa"/>
              <w:bottom w:w="100" w:type="dxa"/>
              <w:right w:w="100" w:type="dxa"/>
            </w:tcMar>
          </w:tcPr>
          <w:p w14:paraId="0A25E31F"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12.3: Analyse I- theorieën machtsverhoudingen</w:t>
            </w:r>
          </w:p>
          <w:p w14:paraId="6A86D7D4"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van het begrip ‘geopolitiek’ geven, herkennen in en toepassen op een (zelfgekozen) bron. </w:t>
            </w:r>
          </w:p>
          <w:p w14:paraId="5212C95D"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vijf politicologische theorieën over het gedrag van nationale staten in de geopolitiek noemen, omschrijven, onderscheiden, herkennen in en toepassen op een (zelfgekozen) bron.</w:t>
            </w:r>
          </w:p>
          <w:p w14:paraId="35C3DD76"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van ‘het veiligheidsdilemma van nationale staten’ geven, herkennen in en toepassen op een (zelfgekozen) bron.</w:t>
            </w:r>
          </w:p>
          <w:p w14:paraId="3613C831" w14:textId="77777777" w:rsidR="0044144F" w:rsidRDefault="00000000">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drie cruciale gevallen voor vrede volgens realisten noemen, omschrijven, onderscheiden, herkennen in en toepassen op een (zelfgekozen) bron.</w:t>
            </w:r>
          </w:p>
        </w:tc>
      </w:tr>
      <w:tr w:rsidR="0044144F" w14:paraId="3394E56C" w14:textId="77777777">
        <w:tc>
          <w:tcPr>
            <w:tcW w:w="9029" w:type="dxa"/>
            <w:shd w:val="clear" w:color="auto" w:fill="auto"/>
            <w:tcMar>
              <w:top w:w="100" w:type="dxa"/>
              <w:left w:w="100" w:type="dxa"/>
              <w:bottom w:w="100" w:type="dxa"/>
              <w:right w:w="100" w:type="dxa"/>
            </w:tcMar>
          </w:tcPr>
          <w:p w14:paraId="37534CE0"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Paragraaf 12.4: Analyse II- paradigma’s over macht en conflict</w:t>
            </w:r>
          </w:p>
          <w:p w14:paraId="11B8F263"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begrippen ‘interstatelijke conflicten’ en ‘intrastatelijke conflicten’ en kan deze onderscheiden, herkennen in en toepassen op een (zelfgekozen) bron.</w:t>
            </w:r>
          </w:p>
          <w:p w14:paraId="7F377E9A"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het kernconcept ‘macht’ analyseren met behulp van de vier paradigma’s. </w:t>
            </w:r>
          </w:p>
          <w:p w14:paraId="0F00D475"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het kernconcept ‘conflict’ analyseren met behulp van de vier paradigma’s. </w:t>
            </w:r>
          </w:p>
          <w:p w14:paraId="2DE33F62"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het kernconcept ‘gezag’ analyseren met behulp van de vier paradigma’s. </w:t>
            </w:r>
          </w:p>
          <w:p w14:paraId="020352E5"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Ik kan omschrijven waarom ‘macht’ relatief is. </w:t>
            </w:r>
          </w:p>
          <w:p w14:paraId="548FC8D2"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een omschrijving geven van de ‘law of anticipated actions’ en kan dit  herkennen in en toepassen op een (zelfgekozen) bron.</w:t>
            </w:r>
          </w:p>
          <w:p w14:paraId="2B1811E2"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drie manieren voor het meten van macht noemen, omschrijven, onderscheiden, herkennen in en toepassen op een (zelfgekozen) bron.</w:t>
            </w:r>
          </w:p>
          <w:p w14:paraId="5572E3AA"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het kernconcept ‘globalisering’ analyseren met behulp van de vier paradigma’s. </w:t>
            </w:r>
          </w:p>
        </w:tc>
      </w:tr>
      <w:tr w:rsidR="0044144F" w14:paraId="3844506F" w14:textId="77777777">
        <w:tc>
          <w:tcPr>
            <w:tcW w:w="9029" w:type="dxa"/>
            <w:shd w:val="clear" w:color="auto" w:fill="auto"/>
            <w:tcMar>
              <w:top w:w="100" w:type="dxa"/>
              <w:left w:w="100" w:type="dxa"/>
              <w:bottom w:w="100" w:type="dxa"/>
              <w:right w:w="100" w:type="dxa"/>
            </w:tcMar>
          </w:tcPr>
          <w:p w14:paraId="723232F4" w14:textId="77777777" w:rsidR="0044144F"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Paragraaf 12.5: Ontwikkelingen machtsverhoudingen staten</w:t>
            </w:r>
          </w:p>
          <w:p w14:paraId="0AD9A8DD"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de gevolgen van globalisering voor de wereld en de EU noemen, omschrijven, onderscheiden, herkennen in en toepassen op een (zelfgekozen) bron.</w:t>
            </w:r>
          </w:p>
          <w:p w14:paraId="5B2FE141"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culturele gevolgen van globalisering en kan deze onderscheiden, herkennen in en toepassen op een (zelfgekozen) bron. </w:t>
            </w:r>
          </w:p>
          <w:p w14:paraId="56E15294"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begrippen ‘cultuurrelativisme’ en ‘cultuuruniversalisme’ en kan deze onderscheiden, herkennen in en toepassen op een (zelfgekozen) bron. </w:t>
            </w:r>
          </w:p>
          <w:p w14:paraId="1D29DB0C"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omschrijving geven van de visies van de drie ideologieën op ‘globalisering’ en milieu en kan deze onderscheiden, herkennen in en toepassen op een (zelfgekozen) bron. </w:t>
            </w:r>
          </w:p>
          <w:p w14:paraId="69C528AF"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met behulp van een omschrijving geven van de begrippen ‘belastingparadijs’ en ‘brievenbusfirma’ uitspraken doen over de belangen van multinationale ondernemingen en staten in het vestigingsklimaat. </w:t>
            </w:r>
          </w:p>
          <w:p w14:paraId="4BB6ACCC"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twee groepen theorieën over de economische (onder)ontwikkeling van staten noemen, omschrijven, onderscheiden, herkennen in en toepassen op een (zelfgekozen) bron. </w:t>
            </w:r>
          </w:p>
          <w:p w14:paraId="3A0FE52D"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een historische context schetsen van het ontstaan van fragiele staten en kan dit herkennen in en toepassen op een (zelfgekozen) bron. </w:t>
            </w:r>
          </w:p>
          <w:p w14:paraId="0ED7CBBD"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de twee kenmerken van fragiele staten noemen, omschrijven, onderscheiden, herkennen in en toepassen op een (zelfgekozen) bron. </w:t>
            </w:r>
          </w:p>
          <w:p w14:paraId="07AFC3B7"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 kan aan de hand van minstens één voorbeeld omschrijven waarom fragiele staten een probleem zijn voor buitenlandse actoren. </w:t>
            </w:r>
          </w:p>
          <w:p w14:paraId="7CF403D7" w14:textId="77777777" w:rsidR="0044144F" w:rsidRDefault="00000000">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 kan aan de hand van minstens één voorbeeld omschrijven waarom buitenlandse actoren belang hebben bij het voortbestaan van fragiele staten.</w:t>
            </w:r>
          </w:p>
        </w:tc>
      </w:tr>
    </w:tbl>
    <w:p w14:paraId="2FCE7995" w14:textId="77777777" w:rsidR="0044144F" w:rsidRDefault="0044144F">
      <w:pPr>
        <w:rPr>
          <w:rFonts w:ascii="Times New Roman" w:eastAsia="Times New Roman" w:hAnsi="Times New Roman" w:cs="Times New Roman"/>
          <w:sz w:val="24"/>
          <w:szCs w:val="24"/>
        </w:rPr>
      </w:pPr>
    </w:p>
    <w:p w14:paraId="1F1B1901" w14:textId="77777777" w:rsidR="0044144F" w:rsidRDefault="0044144F">
      <w:pPr>
        <w:rPr>
          <w:rFonts w:ascii="Times New Roman" w:eastAsia="Times New Roman" w:hAnsi="Times New Roman" w:cs="Times New Roman"/>
          <w:sz w:val="24"/>
          <w:szCs w:val="24"/>
        </w:rPr>
      </w:pPr>
    </w:p>
    <w:sectPr w:rsidR="0044144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7E06"/>
    <w:multiLevelType w:val="multilevel"/>
    <w:tmpl w:val="F3721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446BEC"/>
    <w:multiLevelType w:val="multilevel"/>
    <w:tmpl w:val="1382A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4B4428"/>
    <w:multiLevelType w:val="multilevel"/>
    <w:tmpl w:val="06265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0D5B18"/>
    <w:multiLevelType w:val="multilevel"/>
    <w:tmpl w:val="DB363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D37470"/>
    <w:multiLevelType w:val="multilevel"/>
    <w:tmpl w:val="61E65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B91C45"/>
    <w:multiLevelType w:val="multilevel"/>
    <w:tmpl w:val="6F440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F11377"/>
    <w:multiLevelType w:val="multilevel"/>
    <w:tmpl w:val="BC826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F10411"/>
    <w:multiLevelType w:val="multilevel"/>
    <w:tmpl w:val="6602B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61786A"/>
    <w:multiLevelType w:val="multilevel"/>
    <w:tmpl w:val="7A94F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F60CC4"/>
    <w:multiLevelType w:val="multilevel"/>
    <w:tmpl w:val="F9BC3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A47DB8"/>
    <w:multiLevelType w:val="multilevel"/>
    <w:tmpl w:val="8A765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767F20"/>
    <w:multiLevelType w:val="multilevel"/>
    <w:tmpl w:val="86804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5E4DE4"/>
    <w:multiLevelType w:val="multilevel"/>
    <w:tmpl w:val="CF188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B51F48"/>
    <w:multiLevelType w:val="multilevel"/>
    <w:tmpl w:val="AD9A6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976F2B"/>
    <w:multiLevelType w:val="multilevel"/>
    <w:tmpl w:val="17823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09014D"/>
    <w:multiLevelType w:val="multilevel"/>
    <w:tmpl w:val="516CF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FC721F"/>
    <w:multiLevelType w:val="multilevel"/>
    <w:tmpl w:val="9926E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8B14AD"/>
    <w:multiLevelType w:val="multilevel"/>
    <w:tmpl w:val="D950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C47E20"/>
    <w:multiLevelType w:val="multilevel"/>
    <w:tmpl w:val="C9320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9A2163"/>
    <w:multiLevelType w:val="multilevel"/>
    <w:tmpl w:val="F5F66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601A0C"/>
    <w:multiLevelType w:val="multilevel"/>
    <w:tmpl w:val="DB420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2117116">
    <w:abstractNumId w:val="17"/>
  </w:num>
  <w:num w:numId="2" w16cid:durableId="1432433470">
    <w:abstractNumId w:val="8"/>
  </w:num>
  <w:num w:numId="3" w16cid:durableId="929311545">
    <w:abstractNumId w:val="6"/>
  </w:num>
  <w:num w:numId="4" w16cid:durableId="1624965788">
    <w:abstractNumId w:val="0"/>
  </w:num>
  <w:num w:numId="5" w16cid:durableId="1799373835">
    <w:abstractNumId w:val="18"/>
  </w:num>
  <w:num w:numId="6" w16cid:durableId="704864850">
    <w:abstractNumId w:val="12"/>
  </w:num>
  <w:num w:numId="7" w16cid:durableId="78523667">
    <w:abstractNumId w:val="9"/>
  </w:num>
  <w:num w:numId="8" w16cid:durableId="783036759">
    <w:abstractNumId w:val="4"/>
  </w:num>
  <w:num w:numId="9" w16cid:durableId="650599920">
    <w:abstractNumId w:val="15"/>
  </w:num>
  <w:num w:numId="10" w16cid:durableId="819536991">
    <w:abstractNumId w:val="13"/>
  </w:num>
  <w:num w:numId="11" w16cid:durableId="69425359">
    <w:abstractNumId w:val="3"/>
  </w:num>
  <w:num w:numId="12" w16cid:durableId="1795825927">
    <w:abstractNumId w:val="14"/>
  </w:num>
  <w:num w:numId="13" w16cid:durableId="1499614915">
    <w:abstractNumId w:val="19"/>
  </w:num>
  <w:num w:numId="14" w16cid:durableId="120421935">
    <w:abstractNumId w:val="2"/>
  </w:num>
  <w:num w:numId="15" w16cid:durableId="1334258691">
    <w:abstractNumId w:val="20"/>
  </w:num>
  <w:num w:numId="16" w16cid:durableId="74328912">
    <w:abstractNumId w:val="5"/>
  </w:num>
  <w:num w:numId="17" w16cid:durableId="55252228">
    <w:abstractNumId w:val="11"/>
  </w:num>
  <w:num w:numId="18" w16cid:durableId="940726929">
    <w:abstractNumId w:val="7"/>
  </w:num>
  <w:num w:numId="19" w16cid:durableId="1639992769">
    <w:abstractNumId w:val="1"/>
  </w:num>
  <w:num w:numId="20" w16cid:durableId="464588440">
    <w:abstractNumId w:val="10"/>
  </w:num>
  <w:num w:numId="21" w16cid:durableId="8338828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4F"/>
    <w:rsid w:val="0044144F"/>
    <w:rsid w:val="00BA4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333C"/>
  <w15:docId w15:val="{00EF023E-14C8-43DC-AFAB-DE043528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7806</Words>
  <Characters>42934</Characters>
  <Application>Microsoft Office Word</Application>
  <DocSecurity>0</DocSecurity>
  <Lines>357</Lines>
  <Paragraphs>101</Paragraphs>
  <ScaleCrop>false</ScaleCrop>
  <Company/>
  <LinksUpToDate>false</LinksUpToDate>
  <CharactersWithSpaces>50639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Veldman</cp:lastModifiedBy>
  <cp:revision>2</cp:revision>
  <dcterms:created xsi:type="dcterms:W3CDTF">2023-02-25T09:27:00Z</dcterms:created>
  <dcterms:modified xsi:type="dcterms:W3CDTF">2023-02-25T09:28:00Z</dcterms:modified>
</cp:coreProperties>
</file>